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6"/>
        <w:gridCol w:w="3703"/>
        <w:gridCol w:w="4493"/>
      </w:tblGrid>
      <w:tr>
        <w:trPr>
          <w:trHeight w:val="198" w:hRule="atLeast"/>
        </w:trPr>
        <w:tc>
          <w:tcPr>
            <w:tcW w:w="1456" w:type="dxa"/>
          </w:tcPr>
          <w:p>
            <w:pPr>
              <w:pStyle w:val="TableParagraph"/>
              <w:spacing w:line="178" w:lineRule="exact"/>
              <w:ind w:left="200"/>
              <w:rPr>
                <w:sz w:val="16"/>
              </w:rPr>
            </w:pPr>
            <w:r>
              <w:rPr>
                <w:sz w:val="16"/>
              </w:rPr>
              <w:t>Version number:</w:t>
            </w:r>
          </w:p>
        </w:tc>
        <w:tc>
          <w:tcPr>
            <w:tcW w:w="3703" w:type="dxa"/>
          </w:tcPr>
          <w:p>
            <w:pPr>
              <w:pStyle w:val="TableParagraph"/>
              <w:spacing w:line="178" w:lineRule="exact"/>
              <w:ind w:left="170"/>
              <w:rPr>
                <w:sz w:val="16"/>
              </w:rPr>
            </w:pPr>
            <w:r>
              <w:rPr>
                <w:sz w:val="16"/>
              </w:rPr>
              <w:t>2.0</w:t>
            </w:r>
          </w:p>
        </w:tc>
        <w:tc>
          <w:tcPr>
            <w:tcW w:w="4493" w:type="dxa"/>
            <w:vMerge w:val="restart"/>
          </w:tcPr>
          <w:p>
            <w:pPr>
              <w:pStyle w:val="TableParagraph"/>
              <w:spacing w:line="240" w:lineRule="auto"/>
              <w:ind w:left="763"/>
              <w:rPr>
                <w:rFonts w:ascii="Times New Roman"/>
                <w:sz w:val="20"/>
              </w:rPr>
            </w:pPr>
            <w:r>
              <w:rPr>
                <w:rFonts w:ascii="Times New Roman"/>
                <w:sz w:val="20"/>
              </w:rPr>
              <w:drawing>
                <wp:inline distT="0" distB="0" distL="0" distR="0">
                  <wp:extent cx="2237019" cy="5074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7019" cy="507492"/>
                          </a:xfrm>
                          <a:prstGeom prst="rect">
                            <a:avLst/>
                          </a:prstGeom>
                        </pic:spPr>
                      </pic:pic>
                    </a:graphicData>
                  </a:graphic>
                </wp:inline>
              </w:drawing>
            </w:r>
            <w:r>
              <w:rPr>
                <w:rFonts w:ascii="Times New Roman"/>
                <w:sz w:val="20"/>
              </w:rPr>
            </w:r>
          </w:p>
        </w:tc>
      </w:tr>
      <w:tr>
        <w:trPr>
          <w:trHeight w:val="195" w:hRule="atLeast"/>
        </w:trPr>
        <w:tc>
          <w:tcPr>
            <w:tcW w:w="1456" w:type="dxa"/>
          </w:tcPr>
          <w:p>
            <w:pPr>
              <w:pStyle w:val="TableParagraph"/>
              <w:ind w:left="200"/>
              <w:rPr>
                <w:sz w:val="16"/>
              </w:rPr>
            </w:pPr>
            <w:r>
              <w:rPr>
                <w:sz w:val="16"/>
              </w:rPr>
              <w:t>Policy owner:</w:t>
            </w:r>
          </w:p>
        </w:tc>
        <w:tc>
          <w:tcPr>
            <w:tcW w:w="3703" w:type="dxa"/>
          </w:tcPr>
          <w:p>
            <w:pPr>
              <w:pStyle w:val="TableParagraph"/>
              <w:ind w:left="170"/>
              <w:rPr>
                <w:sz w:val="16"/>
              </w:rPr>
            </w:pPr>
            <w:r>
              <w:rPr>
                <w:sz w:val="16"/>
              </w:rPr>
              <w:t>Director of Student Support and Transition</w:t>
            </w:r>
          </w:p>
        </w:tc>
        <w:tc>
          <w:tcPr>
            <w:tcW w:w="4493" w:type="dxa"/>
            <w:vMerge/>
            <w:tcBorders>
              <w:top w:val="nil"/>
            </w:tcBorders>
          </w:tcPr>
          <w:p>
            <w:pPr>
              <w:rPr>
                <w:sz w:val="2"/>
                <w:szCs w:val="2"/>
              </w:rPr>
            </w:pPr>
          </w:p>
        </w:tc>
      </w:tr>
      <w:tr>
        <w:trPr>
          <w:trHeight w:val="195" w:hRule="atLeast"/>
        </w:trPr>
        <w:tc>
          <w:tcPr>
            <w:tcW w:w="1456" w:type="dxa"/>
          </w:tcPr>
          <w:p>
            <w:pPr>
              <w:pStyle w:val="TableParagraph"/>
              <w:ind w:left="200"/>
              <w:rPr>
                <w:sz w:val="16"/>
              </w:rPr>
            </w:pPr>
            <w:r>
              <w:rPr>
                <w:sz w:val="16"/>
              </w:rPr>
              <w:t>Effective date:</w:t>
            </w:r>
          </w:p>
        </w:tc>
        <w:tc>
          <w:tcPr>
            <w:tcW w:w="3703" w:type="dxa"/>
          </w:tcPr>
          <w:p>
            <w:pPr>
              <w:pStyle w:val="TableParagraph"/>
              <w:ind w:left="170"/>
              <w:rPr>
                <w:sz w:val="16"/>
              </w:rPr>
            </w:pPr>
            <w:r>
              <w:rPr>
                <w:sz w:val="16"/>
              </w:rPr>
              <w:t>11/03/2020</w:t>
            </w:r>
          </w:p>
        </w:tc>
        <w:tc>
          <w:tcPr>
            <w:tcW w:w="4493" w:type="dxa"/>
            <w:vMerge/>
            <w:tcBorders>
              <w:top w:val="nil"/>
            </w:tcBorders>
          </w:tcPr>
          <w:p>
            <w:pPr>
              <w:rPr>
                <w:sz w:val="2"/>
                <w:szCs w:val="2"/>
              </w:rPr>
            </w:pPr>
          </w:p>
        </w:tc>
      </w:tr>
      <w:tr>
        <w:trPr>
          <w:trHeight w:val="211" w:hRule="atLeast"/>
        </w:trPr>
        <w:tc>
          <w:tcPr>
            <w:tcW w:w="1456" w:type="dxa"/>
          </w:tcPr>
          <w:p>
            <w:pPr>
              <w:pStyle w:val="TableParagraph"/>
              <w:spacing w:line="180" w:lineRule="exact"/>
              <w:ind w:left="200"/>
              <w:rPr>
                <w:sz w:val="16"/>
              </w:rPr>
            </w:pPr>
            <w:r>
              <w:rPr>
                <w:sz w:val="16"/>
              </w:rPr>
              <w:t>Review date:</w:t>
            </w:r>
          </w:p>
        </w:tc>
        <w:tc>
          <w:tcPr>
            <w:tcW w:w="3703" w:type="dxa"/>
          </w:tcPr>
          <w:p>
            <w:pPr>
              <w:pStyle w:val="TableParagraph"/>
              <w:spacing w:line="180" w:lineRule="exact"/>
              <w:ind w:left="170"/>
              <w:rPr>
                <w:sz w:val="16"/>
              </w:rPr>
            </w:pPr>
            <w:r>
              <w:rPr>
                <w:sz w:val="16"/>
              </w:rPr>
              <w:t>31/07/2022</w:t>
            </w:r>
          </w:p>
        </w:tc>
        <w:tc>
          <w:tcPr>
            <w:tcW w:w="4493"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t>Freedom of Speech Code of Conduct</w:t>
      </w:r>
    </w:p>
    <w:p>
      <w:pPr>
        <w:spacing w:after="0"/>
        <w:sectPr>
          <w:type w:val="continuous"/>
          <w:pgSz w:w="11910" w:h="16850"/>
          <w:pgMar w:top="1440" w:bottom="280" w:left="800" w:right="12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0"/>
        <w:gridCol w:w="2226"/>
        <w:gridCol w:w="5345"/>
      </w:tblGrid>
      <w:tr>
        <w:trPr>
          <w:trHeight w:val="196" w:hRule="atLeast"/>
        </w:trPr>
        <w:tc>
          <w:tcPr>
            <w:tcW w:w="9061" w:type="dxa"/>
            <w:gridSpan w:val="3"/>
            <w:tcBorders>
              <w:top w:val="single" w:sz="4" w:space="0" w:color="000000"/>
              <w:left w:val="single" w:sz="4" w:space="0" w:color="000000"/>
              <w:bottom w:val="single" w:sz="4" w:space="0" w:color="000000"/>
              <w:right w:val="single" w:sz="4" w:space="0" w:color="000000"/>
            </w:tcBorders>
          </w:tcPr>
          <w:p>
            <w:pPr>
              <w:pStyle w:val="TableParagraph"/>
              <w:rPr>
                <w:sz w:val="16"/>
              </w:rPr>
            </w:pPr>
            <w:r>
              <w:rPr>
                <w:sz w:val="16"/>
              </w:rPr>
              <w:t>This Policy has been reviewed and supersedes all previous issues. It has undergone the following approval process:</w:t>
            </w:r>
          </w:p>
        </w:tc>
      </w:tr>
      <w:tr>
        <w:trPr>
          <w:trHeight w:val="193" w:hRule="atLeast"/>
        </w:trPr>
        <w:tc>
          <w:tcPr>
            <w:tcW w:w="9061" w:type="dxa"/>
            <w:gridSpan w:val="3"/>
            <w:tcBorders>
              <w:top w:val="single" w:sz="4" w:space="0" w:color="000000"/>
              <w:bottom w:val="single" w:sz="4" w:space="0" w:color="000000"/>
            </w:tcBorders>
          </w:tcPr>
          <w:p>
            <w:pPr>
              <w:pStyle w:val="TableParagraph"/>
              <w:spacing w:line="240" w:lineRule="auto"/>
              <w:ind w:left="0"/>
              <w:rPr>
                <w:rFonts w:ascii="Times New Roman"/>
                <w:sz w:val="12"/>
              </w:rPr>
            </w:pPr>
          </w:p>
        </w:tc>
      </w:tr>
      <w:tr>
        <w:trPr>
          <w:trHeight w:val="307" w:hRule="atLeast"/>
        </w:trPr>
        <w:tc>
          <w:tcPr>
            <w:tcW w:w="1490" w:type="dxa"/>
            <w:tcBorders>
              <w:top w:val="single" w:sz="4" w:space="0" w:color="000000"/>
              <w:left w:val="single" w:sz="4" w:space="0" w:color="000000"/>
            </w:tcBorders>
          </w:tcPr>
          <w:p>
            <w:pPr>
              <w:pStyle w:val="TableParagraph"/>
              <w:spacing w:line="240" w:lineRule="auto" w:before="1"/>
              <w:rPr>
                <w:sz w:val="16"/>
              </w:rPr>
            </w:pPr>
            <w:r>
              <w:rPr>
                <w:sz w:val="16"/>
              </w:rPr>
              <w:t>Equality Analysis</w:t>
            </w:r>
          </w:p>
        </w:tc>
        <w:tc>
          <w:tcPr>
            <w:tcW w:w="2226" w:type="dxa"/>
            <w:tcBorders>
              <w:top w:val="single" w:sz="4" w:space="0" w:color="000000"/>
            </w:tcBorders>
          </w:tcPr>
          <w:p>
            <w:pPr>
              <w:pStyle w:val="TableParagraph"/>
              <w:spacing w:line="240" w:lineRule="auto"/>
              <w:ind w:left="0"/>
              <w:rPr>
                <w:rFonts w:ascii="Times New Roman"/>
                <w:sz w:val="16"/>
              </w:rPr>
            </w:pPr>
          </w:p>
        </w:tc>
        <w:tc>
          <w:tcPr>
            <w:tcW w:w="5345" w:type="dxa"/>
            <w:tcBorders>
              <w:top w:val="single" w:sz="4" w:space="0" w:color="000000"/>
              <w:right w:val="single" w:sz="4" w:space="0" w:color="000000"/>
            </w:tcBorders>
          </w:tcPr>
          <w:p>
            <w:pPr>
              <w:pStyle w:val="TableParagraph"/>
              <w:spacing w:line="240" w:lineRule="auto"/>
              <w:ind w:left="0"/>
              <w:rPr>
                <w:rFonts w:ascii="Times New Roman"/>
                <w:sz w:val="16"/>
              </w:rPr>
            </w:pPr>
          </w:p>
        </w:tc>
      </w:tr>
      <w:tr>
        <w:trPr>
          <w:trHeight w:val="668" w:hRule="atLeast"/>
        </w:trPr>
        <w:tc>
          <w:tcPr>
            <w:tcW w:w="1490" w:type="dxa"/>
            <w:tcBorders>
              <w:left w:val="single" w:sz="4" w:space="0" w:color="000000"/>
              <w:bottom w:val="single" w:sz="4" w:space="0" w:color="000000"/>
            </w:tcBorders>
          </w:tcPr>
          <w:p>
            <w:pPr>
              <w:pStyle w:val="TableParagraph"/>
              <w:spacing w:line="240" w:lineRule="auto" w:before="82"/>
              <w:rPr>
                <w:sz w:val="16"/>
              </w:rPr>
            </w:pPr>
            <w:r>
              <w:rPr>
                <w:sz w:val="16"/>
              </w:rPr>
              <w:t>LT&amp;SE Team</w:t>
            </w:r>
          </w:p>
        </w:tc>
        <w:tc>
          <w:tcPr>
            <w:tcW w:w="2226" w:type="dxa"/>
            <w:tcBorders>
              <w:bottom w:val="single" w:sz="4" w:space="0" w:color="000000"/>
            </w:tcBorders>
          </w:tcPr>
          <w:p>
            <w:pPr>
              <w:pStyle w:val="TableParagraph"/>
              <w:spacing w:line="240" w:lineRule="auto"/>
              <w:ind w:left="0"/>
              <w:rPr>
                <w:rFonts w:ascii="Times New Roman"/>
                <w:sz w:val="16"/>
              </w:rPr>
            </w:pPr>
          </w:p>
        </w:tc>
        <w:tc>
          <w:tcPr>
            <w:tcW w:w="5345" w:type="dxa"/>
            <w:tcBorders>
              <w:bottom w:val="single" w:sz="4" w:space="0" w:color="000000"/>
              <w:right w:val="single" w:sz="4" w:space="0" w:color="000000"/>
            </w:tcBorders>
          </w:tcPr>
          <w:p>
            <w:pPr>
              <w:pStyle w:val="TableParagraph"/>
              <w:spacing w:line="240" w:lineRule="auto" w:before="82"/>
              <w:ind w:left="1202"/>
              <w:rPr>
                <w:sz w:val="16"/>
              </w:rPr>
            </w:pPr>
            <w:r>
              <w:rPr>
                <w:sz w:val="16"/>
              </w:rPr>
              <w:t>20 May 2020</w:t>
            </w:r>
          </w:p>
        </w:tc>
      </w:tr>
      <w:tr>
        <w:trPr>
          <w:trHeight w:val="196" w:hRule="atLeast"/>
        </w:trPr>
        <w:tc>
          <w:tcPr>
            <w:tcW w:w="1490" w:type="dxa"/>
            <w:tcBorders>
              <w:top w:val="single" w:sz="4" w:space="0" w:color="000000"/>
              <w:bottom w:val="single" w:sz="4" w:space="0" w:color="000000"/>
            </w:tcBorders>
          </w:tcPr>
          <w:p>
            <w:pPr>
              <w:pStyle w:val="TableParagraph"/>
              <w:spacing w:line="240" w:lineRule="auto"/>
              <w:ind w:left="0"/>
              <w:rPr>
                <w:rFonts w:ascii="Times New Roman"/>
                <w:sz w:val="12"/>
              </w:rPr>
            </w:pPr>
          </w:p>
        </w:tc>
        <w:tc>
          <w:tcPr>
            <w:tcW w:w="2226" w:type="dxa"/>
            <w:tcBorders>
              <w:top w:val="single" w:sz="4" w:space="0" w:color="000000"/>
              <w:bottom w:val="single" w:sz="4" w:space="0" w:color="000000"/>
            </w:tcBorders>
          </w:tcPr>
          <w:p>
            <w:pPr>
              <w:pStyle w:val="TableParagraph"/>
              <w:spacing w:line="240" w:lineRule="auto"/>
              <w:ind w:left="0"/>
              <w:rPr>
                <w:rFonts w:ascii="Times New Roman"/>
                <w:sz w:val="12"/>
              </w:rPr>
            </w:pPr>
          </w:p>
        </w:tc>
        <w:tc>
          <w:tcPr>
            <w:tcW w:w="5345" w:type="dxa"/>
            <w:tcBorders>
              <w:top w:val="single" w:sz="4" w:space="0" w:color="000000"/>
              <w:bottom w:val="single" w:sz="4" w:space="0" w:color="000000"/>
            </w:tcBorders>
          </w:tcPr>
          <w:p>
            <w:pPr>
              <w:pStyle w:val="TableParagraph"/>
              <w:spacing w:line="240" w:lineRule="auto"/>
              <w:ind w:left="0"/>
              <w:rPr>
                <w:rFonts w:ascii="Times New Roman"/>
                <w:sz w:val="12"/>
              </w:rPr>
            </w:pPr>
          </w:p>
        </w:tc>
      </w:tr>
      <w:tr>
        <w:trPr>
          <w:trHeight w:val="390" w:hRule="atLeast"/>
        </w:trPr>
        <w:tc>
          <w:tcPr>
            <w:tcW w:w="9061" w:type="dxa"/>
            <w:gridSpan w:val="3"/>
            <w:tcBorders>
              <w:top w:val="single" w:sz="4" w:space="0" w:color="000000"/>
              <w:left w:val="single" w:sz="4" w:space="0" w:color="000000"/>
              <w:bottom w:val="single" w:sz="4" w:space="0" w:color="000000"/>
              <w:right w:val="single" w:sz="4" w:space="0" w:color="000000"/>
            </w:tcBorders>
          </w:tcPr>
          <w:p>
            <w:pPr>
              <w:pStyle w:val="TableParagraph"/>
              <w:spacing w:line="194" w:lineRule="exact"/>
              <w:rPr>
                <w:sz w:val="16"/>
              </w:rPr>
            </w:pPr>
            <w:r>
              <w:rPr>
                <w:sz w:val="16"/>
              </w:rPr>
              <w:t>The Policy was last issued in February 2016</w:t>
            </w:r>
          </w:p>
          <w:p>
            <w:pPr>
              <w:pStyle w:val="TableParagraph"/>
              <w:spacing w:line="175" w:lineRule="exact" w:before="1"/>
              <w:rPr>
                <w:sz w:val="16"/>
              </w:rPr>
            </w:pPr>
            <w:r>
              <w:rPr>
                <w:sz w:val="16"/>
              </w:rPr>
              <w:t>The principal changes relate to:</w:t>
            </w:r>
          </w:p>
        </w:tc>
      </w:tr>
      <w:tr>
        <w:trPr>
          <w:trHeight w:val="208" w:hRule="atLeast"/>
        </w:trPr>
        <w:tc>
          <w:tcPr>
            <w:tcW w:w="1490" w:type="dxa"/>
            <w:tcBorders>
              <w:top w:val="single" w:sz="4" w:space="0" w:color="000000"/>
              <w:left w:val="single" w:sz="4" w:space="0" w:color="000000"/>
            </w:tcBorders>
          </w:tcPr>
          <w:p>
            <w:pPr>
              <w:pStyle w:val="TableParagraph"/>
              <w:spacing w:line="188" w:lineRule="exact"/>
              <w:rPr>
                <w:sz w:val="16"/>
              </w:rPr>
            </w:pPr>
            <w:r>
              <w:rPr>
                <w:sz w:val="16"/>
              </w:rPr>
              <w:t>Section/Paragraph</w:t>
            </w:r>
          </w:p>
        </w:tc>
        <w:tc>
          <w:tcPr>
            <w:tcW w:w="2226" w:type="dxa"/>
            <w:tcBorders>
              <w:top w:val="single" w:sz="4" w:space="0" w:color="000000"/>
            </w:tcBorders>
          </w:tcPr>
          <w:p>
            <w:pPr>
              <w:pStyle w:val="TableParagraph"/>
              <w:spacing w:line="188" w:lineRule="exact"/>
              <w:ind w:left="177"/>
              <w:rPr>
                <w:sz w:val="16"/>
              </w:rPr>
            </w:pPr>
            <w:r>
              <w:rPr>
                <w:sz w:val="16"/>
              </w:rPr>
              <w:t>Title</w:t>
            </w:r>
          </w:p>
        </w:tc>
        <w:tc>
          <w:tcPr>
            <w:tcW w:w="5345" w:type="dxa"/>
            <w:tcBorders>
              <w:top w:val="single" w:sz="4" w:space="0" w:color="000000"/>
              <w:right w:val="single" w:sz="4" w:space="0" w:color="000000"/>
            </w:tcBorders>
          </w:tcPr>
          <w:p>
            <w:pPr>
              <w:pStyle w:val="TableParagraph"/>
              <w:spacing w:line="188" w:lineRule="exact"/>
              <w:ind w:left="1202"/>
              <w:rPr>
                <w:sz w:val="16"/>
              </w:rPr>
            </w:pPr>
            <w:r>
              <w:rPr>
                <w:sz w:val="16"/>
              </w:rPr>
              <w:t>Change:</w:t>
            </w:r>
          </w:p>
        </w:tc>
      </w:tr>
      <w:tr>
        <w:trPr>
          <w:trHeight w:val="195" w:hRule="atLeast"/>
        </w:trPr>
        <w:tc>
          <w:tcPr>
            <w:tcW w:w="1490" w:type="dxa"/>
            <w:tcBorders>
              <w:left w:val="single" w:sz="4" w:space="0" w:color="000000"/>
            </w:tcBorders>
          </w:tcPr>
          <w:p>
            <w:pPr>
              <w:pStyle w:val="TableParagraph"/>
              <w:rPr>
                <w:sz w:val="16"/>
              </w:rPr>
            </w:pPr>
            <w:r>
              <w:rPr>
                <w:sz w:val="16"/>
              </w:rPr>
              <w:t>Front page</w:t>
            </w:r>
          </w:p>
        </w:tc>
        <w:tc>
          <w:tcPr>
            <w:tcW w:w="2226" w:type="dxa"/>
          </w:tcPr>
          <w:p>
            <w:pPr>
              <w:pStyle w:val="TableParagraph"/>
              <w:spacing w:line="240" w:lineRule="auto"/>
              <w:ind w:left="0"/>
              <w:rPr>
                <w:rFonts w:ascii="Times New Roman"/>
                <w:sz w:val="12"/>
              </w:rPr>
            </w:pPr>
          </w:p>
        </w:tc>
        <w:tc>
          <w:tcPr>
            <w:tcW w:w="5345" w:type="dxa"/>
            <w:tcBorders>
              <w:right w:val="single" w:sz="4" w:space="0" w:color="000000"/>
            </w:tcBorders>
          </w:tcPr>
          <w:p>
            <w:pPr>
              <w:pStyle w:val="TableParagraph"/>
              <w:ind w:left="1202"/>
              <w:rPr>
                <w:sz w:val="16"/>
              </w:rPr>
            </w:pPr>
            <w:r>
              <w:rPr>
                <w:sz w:val="16"/>
              </w:rPr>
              <w:t>New cover sheet</w:t>
            </w:r>
          </w:p>
        </w:tc>
      </w:tr>
      <w:tr>
        <w:trPr>
          <w:trHeight w:val="195" w:hRule="atLeast"/>
        </w:trPr>
        <w:tc>
          <w:tcPr>
            <w:tcW w:w="1490" w:type="dxa"/>
            <w:tcBorders>
              <w:left w:val="single" w:sz="4" w:space="0" w:color="000000"/>
            </w:tcBorders>
          </w:tcPr>
          <w:p>
            <w:pPr>
              <w:pStyle w:val="TableParagraph"/>
              <w:rPr>
                <w:sz w:val="16"/>
              </w:rPr>
            </w:pPr>
            <w:r>
              <w:rPr>
                <w:sz w:val="16"/>
              </w:rPr>
              <w:t>Throughout</w:t>
            </w:r>
          </w:p>
        </w:tc>
        <w:tc>
          <w:tcPr>
            <w:tcW w:w="2226" w:type="dxa"/>
          </w:tcPr>
          <w:p>
            <w:pPr>
              <w:pStyle w:val="TableParagraph"/>
              <w:spacing w:line="240" w:lineRule="auto"/>
              <w:ind w:left="0"/>
              <w:rPr>
                <w:rFonts w:ascii="Times New Roman"/>
                <w:sz w:val="12"/>
              </w:rPr>
            </w:pPr>
          </w:p>
        </w:tc>
        <w:tc>
          <w:tcPr>
            <w:tcW w:w="5345" w:type="dxa"/>
            <w:tcBorders>
              <w:right w:val="single" w:sz="4" w:space="0" w:color="000000"/>
            </w:tcBorders>
          </w:tcPr>
          <w:p>
            <w:pPr>
              <w:pStyle w:val="TableParagraph"/>
              <w:ind w:left="1202"/>
              <w:rPr>
                <w:sz w:val="16"/>
              </w:rPr>
            </w:pPr>
            <w:r>
              <w:rPr>
                <w:sz w:val="16"/>
              </w:rPr>
              <w:t>Formatting</w:t>
            </w:r>
          </w:p>
        </w:tc>
      </w:tr>
      <w:tr>
        <w:trPr>
          <w:trHeight w:val="195" w:hRule="atLeast"/>
        </w:trPr>
        <w:tc>
          <w:tcPr>
            <w:tcW w:w="1490" w:type="dxa"/>
            <w:tcBorders>
              <w:left w:val="single" w:sz="4" w:space="0" w:color="000000"/>
            </w:tcBorders>
          </w:tcPr>
          <w:p>
            <w:pPr>
              <w:pStyle w:val="TableParagraph"/>
              <w:rPr>
                <w:sz w:val="16"/>
              </w:rPr>
            </w:pPr>
            <w:r>
              <w:rPr>
                <w:sz w:val="16"/>
              </w:rPr>
              <w:t>Page 1</w:t>
            </w:r>
          </w:p>
        </w:tc>
        <w:tc>
          <w:tcPr>
            <w:tcW w:w="2226" w:type="dxa"/>
          </w:tcPr>
          <w:p>
            <w:pPr>
              <w:pStyle w:val="TableParagraph"/>
              <w:ind w:left="177"/>
              <w:rPr>
                <w:sz w:val="16"/>
              </w:rPr>
            </w:pPr>
            <w:r>
              <w:rPr>
                <w:sz w:val="16"/>
              </w:rPr>
              <w:t>Introduction</w:t>
            </w:r>
          </w:p>
        </w:tc>
        <w:tc>
          <w:tcPr>
            <w:tcW w:w="5345" w:type="dxa"/>
            <w:tcBorders>
              <w:right w:val="single" w:sz="4" w:space="0" w:color="000000"/>
            </w:tcBorders>
          </w:tcPr>
          <w:p>
            <w:pPr>
              <w:pStyle w:val="TableParagraph"/>
              <w:ind w:left="1202"/>
              <w:rPr>
                <w:sz w:val="16"/>
              </w:rPr>
            </w:pPr>
            <w:r>
              <w:rPr>
                <w:sz w:val="16"/>
              </w:rPr>
              <w:t>Removal of note to add link to SU policies</w:t>
            </w:r>
          </w:p>
        </w:tc>
      </w:tr>
      <w:tr>
        <w:trPr>
          <w:trHeight w:val="195" w:hRule="atLeast"/>
        </w:trPr>
        <w:tc>
          <w:tcPr>
            <w:tcW w:w="1490" w:type="dxa"/>
            <w:tcBorders>
              <w:left w:val="single" w:sz="4" w:space="0" w:color="000000"/>
            </w:tcBorders>
          </w:tcPr>
          <w:p>
            <w:pPr>
              <w:pStyle w:val="TableParagraph"/>
              <w:rPr>
                <w:sz w:val="16"/>
              </w:rPr>
            </w:pPr>
            <w:r>
              <w:rPr>
                <w:sz w:val="16"/>
              </w:rPr>
              <w:t>Page 1</w:t>
            </w:r>
          </w:p>
        </w:tc>
        <w:tc>
          <w:tcPr>
            <w:tcW w:w="2226" w:type="dxa"/>
          </w:tcPr>
          <w:p>
            <w:pPr>
              <w:pStyle w:val="TableParagraph"/>
              <w:ind w:left="177"/>
              <w:rPr>
                <w:sz w:val="16"/>
              </w:rPr>
            </w:pPr>
            <w:r>
              <w:rPr>
                <w:sz w:val="16"/>
              </w:rPr>
              <w:t>Principles S.4</w:t>
            </w:r>
          </w:p>
        </w:tc>
        <w:tc>
          <w:tcPr>
            <w:tcW w:w="5345" w:type="dxa"/>
            <w:tcBorders>
              <w:right w:val="single" w:sz="4" w:space="0" w:color="000000"/>
            </w:tcBorders>
          </w:tcPr>
          <w:p>
            <w:pPr>
              <w:pStyle w:val="TableParagraph"/>
              <w:ind w:left="1202"/>
              <w:rPr>
                <w:sz w:val="16"/>
              </w:rPr>
            </w:pPr>
            <w:r>
              <w:rPr>
                <w:sz w:val="16"/>
              </w:rPr>
              <w:t>Link to Equality and Diversity Policy inserted</w:t>
            </w:r>
          </w:p>
        </w:tc>
      </w:tr>
      <w:tr>
        <w:trPr>
          <w:trHeight w:val="2525" w:hRule="atLeast"/>
        </w:trPr>
        <w:tc>
          <w:tcPr>
            <w:tcW w:w="1490" w:type="dxa"/>
            <w:tcBorders>
              <w:left w:val="single" w:sz="4" w:space="0" w:color="000000"/>
              <w:bottom w:val="single" w:sz="4" w:space="0" w:color="000000"/>
            </w:tcBorders>
          </w:tcPr>
          <w:p>
            <w:pPr>
              <w:pStyle w:val="TableParagraph"/>
              <w:spacing w:line="180" w:lineRule="exact"/>
              <w:rPr>
                <w:sz w:val="16"/>
              </w:rPr>
            </w:pPr>
            <w:r>
              <w:rPr>
                <w:sz w:val="16"/>
              </w:rPr>
              <w:t>Page 2</w:t>
            </w:r>
          </w:p>
        </w:tc>
        <w:tc>
          <w:tcPr>
            <w:tcW w:w="2226" w:type="dxa"/>
            <w:tcBorders>
              <w:bottom w:val="single" w:sz="4" w:space="0" w:color="000000"/>
            </w:tcBorders>
          </w:tcPr>
          <w:p>
            <w:pPr>
              <w:pStyle w:val="TableParagraph"/>
              <w:spacing w:line="180" w:lineRule="exact"/>
              <w:ind w:left="177"/>
              <w:rPr>
                <w:sz w:val="16"/>
              </w:rPr>
            </w:pPr>
            <w:r>
              <w:rPr>
                <w:sz w:val="16"/>
              </w:rPr>
              <w:t>Principles S.5</w:t>
            </w:r>
          </w:p>
        </w:tc>
        <w:tc>
          <w:tcPr>
            <w:tcW w:w="5345" w:type="dxa"/>
            <w:tcBorders>
              <w:bottom w:val="single" w:sz="4" w:space="0" w:color="000000"/>
              <w:right w:val="single" w:sz="4" w:space="0" w:color="000000"/>
            </w:tcBorders>
          </w:tcPr>
          <w:p>
            <w:pPr>
              <w:pStyle w:val="TableParagraph"/>
              <w:spacing w:line="180" w:lineRule="exact"/>
              <w:ind w:left="1202"/>
              <w:rPr>
                <w:sz w:val="16"/>
              </w:rPr>
            </w:pPr>
            <w:r>
              <w:rPr>
                <w:sz w:val="16"/>
              </w:rPr>
              <w:t>References and links to the University’s Electronic</w:t>
            </w:r>
          </w:p>
          <w:p>
            <w:pPr>
              <w:pStyle w:val="TableParagraph"/>
              <w:spacing w:line="240" w:lineRule="auto"/>
              <w:ind w:left="1202" w:right="346"/>
              <w:rPr>
                <w:sz w:val="16"/>
              </w:rPr>
            </w:pPr>
            <w:r>
              <w:rPr>
                <w:sz w:val="16"/>
              </w:rPr>
              <w:t>Information Security Policy and the Social Media Policy inserted. Reference to a toolkit for the use of social media deleted.</w:t>
            </w:r>
          </w:p>
        </w:tc>
      </w:tr>
    </w:tbl>
    <w:p>
      <w:pPr>
        <w:spacing w:after="0" w:line="240" w:lineRule="auto"/>
        <w:rPr>
          <w:sz w:val="16"/>
        </w:rPr>
        <w:sectPr>
          <w:pgSz w:w="11910" w:h="16850"/>
          <w:pgMar w:top="1600" w:bottom="280" w:left="800" w:right="1220"/>
        </w:sectPr>
      </w:pPr>
    </w:p>
    <w:p>
      <w:pPr>
        <w:pStyle w:val="BodyText"/>
        <w:spacing w:before="8"/>
        <w:rPr>
          <w:b/>
          <w:sz w:val="9"/>
        </w:rPr>
      </w:pPr>
    </w:p>
    <w:p>
      <w:pPr>
        <w:spacing w:before="44"/>
        <w:ind w:left="640" w:right="0" w:firstLine="0"/>
        <w:jc w:val="left"/>
        <w:rPr>
          <w:b/>
          <w:sz w:val="28"/>
        </w:rPr>
      </w:pPr>
      <w:r>
        <w:rPr>
          <w:b/>
          <w:sz w:val="28"/>
        </w:rPr>
        <w:t>Freedom of Speech Code of Conduct</w:t>
      </w:r>
    </w:p>
    <w:p>
      <w:pPr>
        <w:pStyle w:val="Heading1"/>
        <w:spacing w:before="239"/>
      </w:pPr>
      <w:r>
        <w:rPr/>
        <w:t>Introduction</w:t>
      </w:r>
    </w:p>
    <w:p>
      <w:pPr>
        <w:pStyle w:val="BodyText"/>
        <w:spacing w:before="120"/>
        <w:ind w:left="640" w:right="285"/>
      </w:pPr>
      <w:r>
        <w:rPr/>
        <w:t>Our Freedom of Speech Code of Conduct sets out the principles which underpin the procedures to be followed by University staff and students and by any other party using, or seeking to use, University premises for a meeting or activity</w:t>
      </w:r>
      <w:r>
        <w:rPr>
          <w:vertAlign w:val="superscript"/>
        </w:rPr>
        <w:t>1</w:t>
      </w:r>
      <w:r>
        <w:rPr>
          <w:vertAlign w:val="baseline"/>
        </w:rPr>
        <w:t>, and the conduct required in respect of any such meeting or activity. The Code also applies to off-campus activities held in the University’s name, and to the promotion on campus of off-campus activities.</w:t>
      </w:r>
    </w:p>
    <w:p>
      <w:pPr>
        <w:pStyle w:val="BodyText"/>
        <w:spacing w:before="121"/>
        <w:ind w:left="640" w:right="670"/>
      </w:pPr>
      <w:r>
        <w:rPr/>
        <w:t>The purpose of this Code of Conduct is to enable the University to meet its duties under Section 43 of the Education (No. 2) Act 1986 to take all reasonably practicable steps to ensure that freedom of speech within the law is secured for students and staff of the University and for visiting speakers regarding the organisation of meetings and other activities on University premises.</w:t>
      </w:r>
    </w:p>
    <w:p>
      <w:pPr>
        <w:pStyle w:val="BodyText"/>
        <w:spacing w:before="120"/>
        <w:ind w:left="640"/>
      </w:pPr>
      <w:r>
        <w:rPr/>
        <w:t>For the purposes of this Code, reference to University premises includes premises occupied</w:t>
      </w:r>
    </w:p>
    <w:p>
      <w:pPr>
        <w:pStyle w:val="BodyText"/>
        <w:ind w:left="640"/>
      </w:pPr>
      <w:r>
        <w:rPr/>
        <w:t>by the University of Chichester Students’ Union.</w:t>
      </w:r>
    </w:p>
    <w:p>
      <w:pPr>
        <w:pStyle w:val="BodyText"/>
        <w:spacing w:before="7"/>
        <w:rPr>
          <w:sz w:val="19"/>
        </w:rPr>
      </w:pPr>
    </w:p>
    <w:p>
      <w:pPr>
        <w:pStyle w:val="Heading1"/>
      </w:pPr>
      <w:r>
        <w:rPr/>
        <w:t>Principles</w:t>
      </w:r>
    </w:p>
    <w:p>
      <w:pPr>
        <w:pStyle w:val="ListParagraph"/>
        <w:numPr>
          <w:ilvl w:val="0"/>
          <w:numId w:val="1"/>
        </w:numPr>
        <w:tabs>
          <w:tab w:pos="1001" w:val="left" w:leader="none"/>
        </w:tabs>
        <w:spacing w:line="240" w:lineRule="auto" w:before="199" w:after="0"/>
        <w:ind w:left="1000" w:right="282" w:hanging="360"/>
        <w:jc w:val="left"/>
        <w:rPr>
          <w:sz w:val="24"/>
        </w:rPr>
      </w:pPr>
      <w:r>
        <w:rPr>
          <w:sz w:val="24"/>
        </w:rPr>
        <w:t>Freedom of speech is a fundamental right and is protected under the Human Rights Act 1998. Higher Education Institutions play an important role in enabling students and staff “to express, encounter, negotiate and enjoy difference in a climate of respect</w:t>
      </w:r>
      <w:r>
        <w:rPr>
          <w:spacing w:val="-21"/>
          <w:sz w:val="24"/>
        </w:rPr>
        <w:t> </w:t>
      </w:r>
      <w:r>
        <w:rPr>
          <w:sz w:val="24"/>
        </w:rPr>
        <w:t>and</w:t>
      </w:r>
    </w:p>
    <w:p>
      <w:pPr>
        <w:pStyle w:val="BodyText"/>
        <w:spacing w:before="2"/>
        <w:ind w:left="1000" w:right="214"/>
      </w:pPr>
      <w:r>
        <w:rPr/>
        <w:t>learning”. The University has a particular obligation to take such steps as are reasonably practicable to ensure that freedom of speech within the law is secured. This includes a duty to ensure that the use of University premises is not denied to an individual or group based on their beliefs, views, policy or objectives.</w:t>
      </w:r>
    </w:p>
    <w:p>
      <w:pPr>
        <w:pStyle w:val="ListParagraph"/>
        <w:numPr>
          <w:ilvl w:val="0"/>
          <w:numId w:val="1"/>
        </w:numPr>
        <w:tabs>
          <w:tab w:pos="1001" w:val="left" w:leader="none"/>
        </w:tabs>
        <w:spacing w:line="240" w:lineRule="auto" w:before="198" w:after="0"/>
        <w:ind w:left="1000" w:right="403" w:hanging="360"/>
        <w:jc w:val="left"/>
        <w:rPr>
          <w:sz w:val="24"/>
        </w:rPr>
      </w:pPr>
      <w:r>
        <w:rPr>
          <w:sz w:val="24"/>
        </w:rPr>
        <w:t>Freedom of speech is not, however, an absolute right. The University is not required to provide a platform for views which are contrary to the civil or criminal law. It is mindful of its other legal obligations which may require it to have regard to what is said on its premises. For example, its duty to ensure that staff, students and others who engage with the institution are protected from discrimination, harassment and victimisation, and that good relations between individuals and groups are facilitated. The University also has due regard for the need to ensure security and its statutory duty to prevent people from being drawn into</w:t>
      </w:r>
      <w:r>
        <w:rPr>
          <w:spacing w:val="-5"/>
          <w:sz w:val="24"/>
        </w:rPr>
        <w:t> </w:t>
      </w:r>
      <w:r>
        <w:rPr>
          <w:sz w:val="24"/>
        </w:rPr>
        <w:t>terrorism.</w:t>
      </w:r>
    </w:p>
    <w:p>
      <w:pPr>
        <w:pStyle w:val="ListParagraph"/>
        <w:numPr>
          <w:ilvl w:val="0"/>
          <w:numId w:val="1"/>
        </w:numPr>
        <w:tabs>
          <w:tab w:pos="1001" w:val="left" w:leader="none"/>
        </w:tabs>
        <w:spacing w:line="240" w:lineRule="auto" w:before="198" w:after="0"/>
        <w:ind w:left="1000" w:right="342" w:hanging="360"/>
        <w:jc w:val="left"/>
        <w:rPr>
          <w:sz w:val="24"/>
        </w:rPr>
      </w:pPr>
      <w:r>
        <w:rPr>
          <w:sz w:val="24"/>
        </w:rPr>
        <w:t>In balancing its responsibilities in terms of both ensuring freedom of speech and academic freedom, and also protecting student and staff welfare, the University will act reasonably and proportionately and in accordance with its values, policies and the</w:t>
      </w:r>
      <w:r>
        <w:rPr>
          <w:spacing w:val="-34"/>
          <w:sz w:val="24"/>
        </w:rPr>
        <w:t> </w:t>
      </w:r>
      <w:r>
        <w:rPr>
          <w:sz w:val="24"/>
        </w:rPr>
        <w:t>law.</w:t>
      </w:r>
    </w:p>
    <w:p>
      <w:pPr>
        <w:pStyle w:val="ListParagraph"/>
        <w:numPr>
          <w:ilvl w:val="0"/>
          <w:numId w:val="1"/>
        </w:numPr>
        <w:tabs>
          <w:tab w:pos="1001" w:val="left" w:leader="none"/>
        </w:tabs>
        <w:spacing w:line="240" w:lineRule="auto" w:before="200" w:after="0"/>
        <w:ind w:left="1000" w:right="223" w:hanging="360"/>
        <w:jc w:val="left"/>
        <w:rPr>
          <w:sz w:val="24"/>
        </w:rPr>
      </w:pPr>
      <w:r>
        <w:rPr>
          <w:sz w:val="24"/>
        </w:rPr>
        <w:t>The University’s</w:t>
      </w:r>
      <w:r>
        <w:rPr>
          <w:color w:val="0000FF"/>
          <w:sz w:val="24"/>
        </w:rPr>
        <w:t> </w:t>
      </w:r>
      <w:hyperlink r:id="rId8">
        <w:r>
          <w:rPr>
            <w:color w:val="0000FF"/>
            <w:sz w:val="24"/>
            <w:u w:val="single" w:color="0000FF"/>
          </w:rPr>
          <w:t>Equality and Diversity Policy</w:t>
        </w:r>
        <w:r>
          <w:rPr>
            <w:color w:val="0000FF"/>
            <w:sz w:val="24"/>
          </w:rPr>
          <w:t> </w:t>
        </w:r>
      </w:hyperlink>
      <w:r>
        <w:rPr>
          <w:sz w:val="24"/>
        </w:rPr>
        <w:t>sets out the University’s commitment to promoting equality, diversity and human rights, and to sustaining an environment which is free from all forms of unfair treatment, discrimination and harassment for all those who study, work and engage with the</w:t>
      </w:r>
      <w:r>
        <w:rPr>
          <w:spacing w:val="-2"/>
          <w:sz w:val="24"/>
        </w:rPr>
        <w:t> </w:t>
      </w:r>
      <w:r>
        <w:rPr>
          <w:sz w:val="24"/>
        </w:rPr>
        <w:t>institution.</w:t>
      </w:r>
    </w:p>
    <w:p>
      <w:pPr>
        <w:pStyle w:val="BodyText"/>
        <w:rPr>
          <w:sz w:val="20"/>
        </w:rPr>
      </w:pPr>
    </w:p>
    <w:p>
      <w:pPr>
        <w:pStyle w:val="BodyText"/>
        <w:rPr>
          <w:sz w:val="20"/>
        </w:rPr>
      </w:pPr>
    </w:p>
    <w:p>
      <w:pPr>
        <w:pStyle w:val="BodyText"/>
        <w:rPr>
          <w:sz w:val="20"/>
        </w:rPr>
      </w:pPr>
    </w:p>
    <w:p>
      <w:pPr>
        <w:pStyle w:val="BodyText"/>
        <w:spacing w:before="5"/>
        <w:rPr>
          <w:sz w:val="14"/>
        </w:rPr>
      </w:pPr>
      <w:r>
        <w:rPr/>
        <w:pict>
          <v:rect style="position:absolute;margin-left:72.024002pt;margin-top:10.761438pt;width:144.020pt;height:.84003pt;mso-position-horizontal-relative:page;mso-position-vertical-relative:paragraph;z-index:-15728640;mso-wrap-distance-left:0;mso-wrap-distance-right:0" filled="true" fillcolor="#000000" stroked="false">
            <v:fill type="solid"/>
            <w10:wrap type="topAndBottom"/>
          </v:rect>
        </w:pict>
      </w:r>
    </w:p>
    <w:p>
      <w:pPr>
        <w:spacing w:before="80"/>
        <w:ind w:left="640" w:right="0" w:firstLine="0"/>
        <w:jc w:val="left"/>
        <w:rPr>
          <w:sz w:val="20"/>
        </w:rPr>
      </w:pPr>
      <w:r>
        <w:rPr>
          <w:sz w:val="20"/>
          <w:vertAlign w:val="superscript"/>
        </w:rPr>
        <w:t>1</w:t>
      </w:r>
      <w:r>
        <w:rPr>
          <w:sz w:val="20"/>
          <w:vertAlign w:val="baseline"/>
        </w:rPr>
        <w:t> University of Chichester </w:t>
      </w:r>
      <w:hyperlink r:id="rId9">
        <w:r>
          <w:rPr>
            <w:color w:val="0000FF"/>
            <w:sz w:val="20"/>
            <w:u w:val="single" w:color="0000FF"/>
            <w:vertAlign w:val="baseline"/>
          </w:rPr>
          <w:t>External Speaker or Performance / Event Policy</w:t>
        </w:r>
      </w:hyperlink>
    </w:p>
    <w:p>
      <w:pPr>
        <w:spacing w:after="0"/>
        <w:jc w:val="left"/>
        <w:rPr>
          <w:sz w:val="20"/>
        </w:rPr>
        <w:sectPr>
          <w:headerReference w:type="default" r:id="rId6"/>
          <w:footerReference w:type="default" r:id="rId7"/>
          <w:pgSz w:w="11910" w:h="16850"/>
          <w:pgMar w:header="819" w:footer="734" w:top="1380" w:bottom="920" w:left="800" w:right="1220"/>
          <w:pgNumType w:start="1"/>
        </w:sectPr>
      </w:pPr>
    </w:p>
    <w:p>
      <w:pPr>
        <w:pStyle w:val="ListParagraph"/>
        <w:numPr>
          <w:ilvl w:val="0"/>
          <w:numId w:val="1"/>
        </w:numPr>
        <w:tabs>
          <w:tab w:pos="1001" w:val="left" w:leader="none"/>
        </w:tabs>
        <w:spacing w:line="240" w:lineRule="auto" w:before="41" w:after="0"/>
        <w:ind w:left="1000" w:right="250" w:hanging="360"/>
        <w:jc w:val="left"/>
        <w:rPr>
          <w:sz w:val="24"/>
        </w:rPr>
      </w:pPr>
      <w:r>
        <w:rPr>
          <w:sz w:val="24"/>
        </w:rPr>
        <w:t>Staff and students are expected to adhere to the University’s rules on the use of information communication technology set out in the</w:t>
      </w:r>
      <w:r>
        <w:rPr>
          <w:color w:val="0000FF"/>
          <w:sz w:val="24"/>
        </w:rPr>
        <w:t> </w:t>
      </w:r>
      <w:hyperlink r:id="rId10">
        <w:r>
          <w:rPr>
            <w:color w:val="0000FF"/>
            <w:sz w:val="24"/>
            <w:u w:val="single" w:color="0000FF"/>
          </w:rPr>
          <w:t>Electronic Information Security</w:t>
        </w:r>
      </w:hyperlink>
      <w:hyperlink r:id="rId10">
        <w:r>
          <w:rPr>
            <w:color w:val="0000FF"/>
            <w:sz w:val="24"/>
            <w:u w:val="single" w:color="0000FF"/>
          </w:rPr>
          <w:t> Policy</w:t>
        </w:r>
      </w:hyperlink>
      <w:r>
        <w:rPr>
          <w:sz w:val="24"/>
        </w:rPr>
        <w:t>. These prohibit the creation, display, production or circulation of material which is illegal or likely to cause offence. Additional guidance on the use of social media is provided in the University’s</w:t>
      </w:r>
      <w:hyperlink r:id="rId10">
        <w:r>
          <w:rPr>
            <w:color w:val="0000FF"/>
            <w:sz w:val="24"/>
          </w:rPr>
          <w:t> </w:t>
        </w:r>
        <w:r>
          <w:rPr>
            <w:color w:val="0000FF"/>
            <w:sz w:val="24"/>
            <w:u w:val="single" w:color="0000FF"/>
          </w:rPr>
          <w:t>Social Media Policy</w:t>
        </w:r>
      </w:hyperlink>
      <w:r>
        <w:rPr>
          <w:sz w:val="24"/>
        </w:rPr>
        <w:t>. Students are also bound by the University Disciplinary Procedures and staff by the Staff Disciplinary</w:t>
      </w:r>
      <w:r>
        <w:rPr>
          <w:spacing w:val="-10"/>
          <w:sz w:val="24"/>
        </w:rPr>
        <w:t> </w:t>
      </w:r>
      <w:r>
        <w:rPr>
          <w:sz w:val="24"/>
        </w:rPr>
        <w:t>Policy.</w:t>
      </w:r>
    </w:p>
    <w:sectPr>
      <w:pgSz w:w="11910" w:h="16850"/>
      <w:pgMar w:header="819" w:footer="734" w:top="1380" w:bottom="920" w:left="8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900024pt;margin-top:794.359985pt;width:11.6pt;height:13.05pt;mso-position-horizontal-relative:page;mso-position-vertical-relative:page;z-index:-15844864" type="#_x0000_t202" filled="false" stroked="false">
          <v:textbox inset="0,0,0,0">
            <w:txbxContent>
              <w:p>
                <w:pPr>
                  <w:spacing w:line="245" w:lineRule="exact" w:before="0"/>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0.950012pt;margin-top:41.929977pt;width:93.35pt;height:10.050pt;mso-position-horizontal-relative:page;mso-position-vertical-relative:page;z-index:-15845376" type="#_x0000_t202" filled="false" stroked="false">
          <v:textbox inset="0,0,0,0">
            <w:txbxContent>
              <w:p>
                <w:pPr>
                  <w:spacing w:line="184" w:lineRule="exact" w:before="0"/>
                  <w:ind w:left="20" w:right="0" w:firstLine="0"/>
                  <w:jc w:val="left"/>
                  <w:rPr>
                    <w:sz w:val="16"/>
                  </w:rPr>
                </w:pPr>
                <w:r>
                  <w:rPr>
                    <w:sz w:val="16"/>
                  </w:rPr>
                  <w:t>The 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0" w:hanging="360"/>
        <w:jc w:val="left"/>
      </w:pPr>
      <w:rPr>
        <w:rFonts w:hint="default" w:ascii="Calibri" w:hAnsi="Calibri" w:eastAsia="Calibri" w:cs="Calibri"/>
        <w:w w:val="100"/>
        <w:sz w:val="24"/>
        <w:szCs w:val="24"/>
        <w:lang w:val="en-gb" w:eastAsia="en-US" w:bidi="ar-SA"/>
      </w:rPr>
    </w:lvl>
    <w:lvl w:ilvl="1">
      <w:start w:val="0"/>
      <w:numFmt w:val="bullet"/>
      <w:lvlText w:val="•"/>
      <w:lvlJc w:val="left"/>
      <w:pPr>
        <w:ind w:left="1888" w:hanging="360"/>
      </w:pPr>
      <w:rPr>
        <w:rFonts w:hint="default"/>
        <w:lang w:val="en-gb" w:eastAsia="en-US" w:bidi="ar-SA"/>
      </w:rPr>
    </w:lvl>
    <w:lvl w:ilvl="2">
      <w:start w:val="0"/>
      <w:numFmt w:val="bullet"/>
      <w:lvlText w:val="•"/>
      <w:lvlJc w:val="left"/>
      <w:pPr>
        <w:ind w:left="2777" w:hanging="360"/>
      </w:pPr>
      <w:rPr>
        <w:rFonts w:hint="default"/>
        <w:lang w:val="en-gb" w:eastAsia="en-US" w:bidi="ar-SA"/>
      </w:rPr>
    </w:lvl>
    <w:lvl w:ilvl="3">
      <w:start w:val="0"/>
      <w:numFmt w:val="bullet"/>
      <w:lvlText w:val="•"/>
      <w:lvlJc w:val="left"/>
      <w:pPr>
        <w:ind w:left="3665" w:hanging="360"/>
      </w:pPr>
      <w:rPr>
        <w:rFonts w:hint="default"/>
        <w:lang w:val="en-gb" w:eastAsia="en-US" w:bidi="ar-SA"/>
      </w:rPr>
    </w:lvl>
    <w:lvl w:ilvl="4">
      <w:start w:val="0"/>
      <w:numFmt w:val="bullet"/>
      <w:lvlText w:val="•"/>
      <w:lvlJc w:val="left"/>
      <w:pPr>
        <w:ind w:left="4554" w:hanging="360"/>
      </w:pPr>
      <w:rPr>
        <w:rFonts w:hint="default"/>
        <w:lang w:val="en-gb" w:eastAsia="en-US" w:bidi="ar-SA"/>
      </w:rPr>
    </w:lvl>
    <w:lvl w:ilvl="5">
      <w:start w:val="0"/>
      <w:numFmt w:val="bullet"/>
      <w:lvlText w:val="•"/>
      <w:lvlJc w:val="left"/>
      <w:pPr>
        <w:ind w:left="5443" w:hanging="360"/>
      </w:pPr>
      <w:rPr>
        <w:rFonts w:hint="default"/>
        <w:lang w:val="en-gb" w:eastAsia="en-US" w:bidi="ar-SA"/>
      </w:rPr>
    </w:lvl>
    <w:lvl w:ilvl="6">
      <w:start w:val="0"/>
      <w:numFmt w:val="bullet"/>
      <w:lvlText w:val="•"/>
      <w:lvlJc w:val="left"/>
      <w:pPr>
        <w:ind w:left="6331" w:hanging="360"/>
      </w:pPr>
      <w:rPr>
        <w:rFonts w:hint="default"/>
        <w:lang w:val="en-gb" w:eastAsia="en-US" w:bidi="ar-SA"/>
      </w:rPr>
    </w:lvl>
    <w:lvl w:ilvl="7">
      <w:start w:val="0"/>
      <w:numFmt w:val="bullet"/>
      <w:lvlText w:val="•"/>
      <w:lvlJc w:val="left"/>
      <w:pPr>
        <w:ind w:left="7220" w:hanging="360"/>
      </w:pPr>
      <w:rPr>
        <w:rFonts w:hint="default"/>
        <w:lang w:val="en-gb" w:eastAsia="en-US" w:bidi="ar-SA"/>
      </w:rPr>
    </w:lvl>
    <w:lvl w:ilvl="8">
      <w:start w:val="0"/>
      <w:numFmt w:val="bullet"/>
      <w:lvlText w:val="•"/>
      <w:lvlJc w:val="left"/>
      <w:pPr>
        <w:ind w:left="8109" w:hanging="360"/>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4"/>
      <w:szCs w:val="24"/>
      <w:lang w:val="en-gb" w:eastAsia="en-US" w:bidi="ar-SA"/>
    </w:rPr>
  </w:style>
  <w:style w:styleId="Heading1" w:type="paragraph">
    <w:name w:val="Heading 1"/>
    <w:basedOn w:val="Normal"/>
    <w:uiPriority w:val="1"/>
    <w:qFormat/>
    <w:pPr>
      <w:spacing w:before="1"/>
      <w:ind w:left="640"/>
      <w:outlineLvl w:val="1"/>
    </w:pPr>
    <w:rPr>
      <w:rFonts w:ascii="Calibri" w:hAnsi="Calibri" w:eastAsia="Calibri" w:cs="Calibri"/>
      <w:b/>
      <w:bCs/>
      <w:sz w:val="24"/>
      <w:szCs w:val="24"/>
      <w:lang w:val="en-gb" w:eastAsia="en-US" w:bidi="ar-SA"/>
    </w:rPr>
  </w:style>
  <w:style w:styleId="Title" w:type="paragraph">
    <w:name w:val="Title"/>
    <w:basedOn w:val="Normal"/>
    <w:uiPriority w:val="1"/>
    <w:qFormat/>
    <w:pPr>
      <w:spacing w:before="142"/>
      <w:ind w:left="640"/>
    </w:pPr>
    <w:rPr>
      <w:rFonts w:ascii="Calibri" w:hAnsi="Calibri" w:eastAsia="Calibri" w:cs="Calibri"/>
      <w:b/>
      <w:bCs/>
      <w:sz w:val="36"/>
      <w:szCs w:val="36"/>
      <w:lang w:val="en-gb" w:eastAsia="en-US" w:bidi="ar-SA"/>
    </w:rPr>
  </w:style>
  <w:style w:styleId="ListParagraph" w:type="paragraph">
    <w:name w:val="List Paragraph"/>
    <w:basedOn w:val="Normal"/>
    <w:uiPriority w:val="1"/>
    <w:qFormat/>
    <w:pPr>
      <w:spacing w:before="198"/>
      <w:ind w:left="1000" w:right="223" w:hanging="360"/>
    </w:pPr>
    <w:rPr>
      <w:rFonts w:ascii="Calibri" w:hAnsi="Calibri" w:eastAsia="Calibri" w:cs="Calibri"/>
      <w:lang w:val="en-gb" w:eastAsia="en-US" w:bidi="ar-SA"/>
    </w:rPr>
  </w:style>
  <w:style w:styleId="TableParagraph" w:type="paragraph">
    <w:name w:val="Table Paragraph"/>
    <w:basedOn w:val="Normal"/>
    <w:uiPriority w:val="1"/>
    <w:qFormat/>
    <w:pPr>
      <w:spacing w:line="176" w:lineRule="exact"/>
      <w:ind w:left="107"/>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chi.ac.uk/about-us/policies-and-statements/inclusivity-equality-and-diversity/inclusivity-documentation" TargetMode="External"/><Relationship Id="rId9" Type="http://schemas.openxmlformats.org/officeDocument/2006/relationships/hyperlink" Target="https://www.chi.ac.uk/about-us/policies-and-statements/freedom-speech" TargetMode="External"/><Relationship Id="rId10" Type="http://schemas.openxmlformats.org/officeDocument/2006/relationships/hyperlink" Target="https://www.chi.ac.uk/about-us/policies-and-statements/it-information-and-web"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Gilroy</dc:creator>
  <dcterms:created xsi:type="dcterms:W3CDTF">2021-01-19T11:38:49Z</dcterms:created>
  <dcterms:modified xsi:type="dcterms:W3CDTF">2021-01-19T11:38:49Z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2019</vt:lpwstr>
  </property>
  <property fmtid="{D5CDD505-2E9C-101B-9397-08002B2CF9AE}" pid="4" name="LastSaved">
    <vt:filetime>2021-01-19T00:00:00Z</vt:filetime>
  </property>
</Properties>
</file>