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4866"/>
      </w:tblGrid>
      <w:tr w:rsidR="00BF4F8C" w14:paraId="7053EB7F" w14:textId="77777777" w:rsidTr="00935BB8">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3072" w:type="dxa"/>
              </w:tcPr>
              <w:p w14:paraId="51C34893" w14:textId="00070520" w:rsidR="002C4016" w:rsidRPr="005C342B" w:rsidRDefault="00E9321D"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3.1</w:t>
                </w:r>
              </w:p>
            </w:tc>
          </w:sdtContent>
        </w:sdt>
        <w:tc>
          <w:tcPr>
            <w:tcW w:w="4866"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935BB8">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sz w:val="16"/>
              <w:szCs w:val="16"/>
            </w:rPr>
            <w:id w:val="871269591"/>
            <w:placeholder>
              <w:docPart w:val="C98F48155B5A4732B54FF70F4532DB4D"/>
            </w:placeholder>
            <w:text/>
          </w:sdtPr>
          <w:sdtEndPr/>
          <w:sdtContent>
            <w:tc>
              <w:tcPr>
                <w:tcW w:w="3072" w:type="dxa"/>
              </w:tcPr>
              <w:p w14:paraId="3DDF3BF3" w14:textId="7D636B7F" w:rsidR="002C4016" w:rsidRPr="005C342B" w:rsidRDefault="00E9321D" w:rsidP="002C4016">
                <w:pPr>
                  <w:rPr>
                    <w:rFonts w:asciiTheme="minorHAnsi" w:hAnsiTheme="minorHAnsi" w:cstheme="minorHAnsi"/>
                    <w:color w:val="262626" w:themeColor="text1" w:themeTint="D9"/>
                    <w:sz w:val="16"/>
                    <w:szCs w:val="22"/>
                  </w:rPr>
                </w:pPr>
                <w:r w:rsidRPr="00E9321D">
                  <w:rPr>
                    <w:rFonts w:asciiTheme="minorHAnsi" w:hAnsiTheme="minorHAnsi" w:cstheme="minorHAnsi"/>
                    <w:sz w:val="16"/>
                    <w:szCs w:val="16"/>
                  </w:rPr>
                  <w:t>Director of Students, Support and Information Services</w:t>
                </w:r>
              </w:p>
            </w:tc>
          </w:sdtContent>
        </w:sdt>
        <w:tc>
          <w:tcPr>
            <w:tcW w:w="4866"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935BB8">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1-31T00:00:00Z">
              <w:dateFormat w:val="dd/MM/yyyy"/>
              <w:lid w:val="en-GB"/>
              <w:storeMappedDataAs w:val="dateTime"/>
              <w:calendar w:val="gregorian"/>
            </w:date>
          </w:sdtPr>
          <w:sdtEndPr/>
          <w:sdtContent>
            <w:tc>
              <w:tcPr>
                <w:tcW w:w="3072" w:type="dxa"/>
              </w:tcPr>
              <w:p w14:paraId="342E1435" w14:textId="56C93002" w:rsidR="002C4016" w:rsidRPr="005C342B" w:rsidRDefault="00E9321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31/01/2023</w:t>
                </w:r>
              </w:p>
            </w:tc>
          </w:sdtContent>
        </w:sdt>
        <w:tc>
          <w:tcPr>
            <w:tcW w:w="4866"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935BB8">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6-30T00:00:00Z">
              <w:dateFormat w:val="dd/MM/yyyy"/>
              <w:lid w:val="en-GB"/>
              <w:storeMappedDataAs w:val="dateTime"/>
              <w:calendar w:val="gregorian"/>
            </w:date>
          </w:sdtPr>
          <w:sdtEndPr/>
          <w:sdtContent>
            <w:tc>
              <w:tcPr>
                <w:tcW w:w="3072" w:type="dxa"/>
              </w:tcPr>
              <w:p w14:paraId="71D15075" w14:textId="6A0D5B9F" w:rsidR="002C4016" w:rsidRPr="005C342B" w:rsidRDefault="0036141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30/06/2026</w:t>
                </w:r>
              </w:p>
            </w:tc>
          </w:sdtContent>
        </w:sdt>
        <w:tc>
          <w:tcPr>
            <w:tcW w:w="4866"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bookmarkStart w:id="0" w:name="_GoBack"/>
      <w:bookmarkEnd w:id="0"/>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550CB370" w:rsidR="00FA5986" w:rsidRDefault="000E296F"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sidRPr="000E296F">
            <w:rPr>
              <w:rFonts w:asciiTheme="minorHAnsi" w:eastAsia="SimSun" w:hAnsiTheme="minorHAnsi" w:cs="Humanist777BT-LightB"/>
              <w:color w:val="262626" w:themeColor="text1" w:themeTint="D9"/>
              <w:sz w:val="36"/>
              <w:szCs w:val="36"/>
              <w:lang w:eastAsia="zh-CN"/>
            </w:rPr>
            <w:t>CAMPUS ACUTE RISK POLICY</w:t>
          </w:r>
        </w:p>
      </w:sdtContent>
    </w:sdt>
    <w:p w14:paraId="6028D830" w14:textId="77777777" w:rsidR="00C25523" w:rsidRDefault="00C25523" w:rsidP="00765811">
      <w:pPr>
        <w:pStyle w:val="TOCHeading"/>
        <w:rPr>
          <w:rFonts w:ascii="Calibri" w:eastAsia="SimSun" w:hAnsi="Calibri" w:cs="Times New Roman"/>
          <w:color w:val="auto"/>
          <w:sz w:val="22"/>
          <w:szCs w:val="24"/>
          <w:lang w:val="en-GB" w:eastAsia="zh-CN"/>
        </w:rPr>
      </w:pPr>
      <w:bookmarkStart w:id="1" w:name="main"/>
    </w:p>
    <w:sdt>
      <w:sdtPr>
        <w:rPr>
          <w:rFonts w:ascii="Calibri" w:eastAsia="SimSun" w:hAnsi="Calibri" w:cs="Times New Roman"/>
          <w:color w:val="auto"/>
          <w:sz w:val="22"/>
          <w:szCs w:val="24"/>
          <w:lang w:val="en-GB" w:eastAsia="zh-CN"/>
        </w:rPr>
        <w:id w:val="1232115849"/>
        <w:docPartObj>
          <w:docPartGallery w:val="Table of Contents"/>
          <w:docPartUnique/>
        </w:docPartObj>
      </w:sdtPr>
      <w:sdtEndPr>
        <w:rPr>
          <w:b/>
          <w:bCs/>
          <w:noProof/>
        </w:rPr>
      </w:sdtEndPr>
      <w:sdtContent>
        <w:p w14:paraId="66C419B3" w14:textId="0E153F44" w:rsidR="00765811" w:rsidRDefault="00765811" w:rsidP="00765811">
          <w:pPr>
            <w:pStyle w:val="TOCHeading"/>
          </w:pPr>
          <w:r>
            <w:t>Contents</w:t>
          </w:r>
        </w:p>
        <w:p w14:paraId="3C24875B" w14:textId="27C7575A" w:rsidR="000F43C5" w:rsidRDefault="00765811" w:rsidP="00C25523">
          <w:pPr>
            <w:pStyle w:val="TOC1"/>
            <w:tabs>
              <w:tab w:val="clear" w:pos="567"/>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25637399" w:history="1">
            <w:r w:rsidR="000F43C5" w:rsidRPr="00CB46BD">
              <w:rPr>
                <w:rStyle w:val="Hyperlink"/>
                <w:noProof/>
              </w:rPr>
              <w:t>Statement of Intent</w:t>
            </w:r>
            <w:r w:rsidR="000F43C5">
              <w:rPr>
                <w:noProof/>
                <w:webHidden/>
              </w:rPr>
              <w:tab/>
            </w:r>
            <w:r w:rsidR="000F43C5">
              <w:rPr>
                <w:noProof/>
                <w:webHidden/>
              </w:rPr>
              <w:fldChar w:fldCharType="begin"/>
            </w:r>
            <w:r w:rsidR="000F43C5">
              <w:rPr>
                <w:noProof/>
                <w:webHidden/>
              </w:rPr>
              <w:instrText xml:space="preserve"> PAGEREF _Toc125637399 \h </w:instrText>
            </w:r>
            <w:r w:rsidR="000F43C5">
              <w:rPr>
                <w:noProof/>
                <w:webHidden/>
              </w:rPr>
            </w:r>
            <w:r w:rsidR="000F43C5">
              <w:rPr>
                <w:noProof/>
                <w:webHidden/>
              </w:rPr>
              <w:fldChar w:fldCharType="separate"/>
            </w:r>
            <w:r w:rsidR="000F43C5">
              <w:rPr>
                <w:noProof/>
                <w:webHidden/>
              </w:rPr>
              <w:t>1</w:t>
            </w:r>
            <w:r w:rsidR="000F43C5">
              <w:rPr>
                <w:noProof/>
                <w:webHidden/>
              </w:rPr>
              <w:fldChar w:fldCharType="end"/>
            </w:r>
          </w:hyperlink>
        </w:p>
        <w:p w14:paraId="606994DC" w14:textId="284113F7" w:rsidR="000F43C5" w:rsidRPr="000F43C5" w:rsidRDefault="00731AD3" w:rsidP="00C25523">
          <w:pPr>
            <w:pStyle w:val="TOC1"/>
            <w:tabs>
              <w:tab w:val="clear" w:pos="567"/>
            </w:tabs>
            <w:rPr>
              <w:rStyle w:val="Hyperlink"/>
              <w:noProof/>
            </w:rPr>
          </w:pPr>
          <w:hyperlink w:anchor="_Toc125637400" w:history="1">
            <w:r w:rsidR="000F43C5" w:rsidRPr="00CB46BD">
              <w:rPr>
                <w:rStyle w:val="Hyperlink"/>
                <w:noProof/>
              </w:rPr>
              <w:t>Scope</w:t>
            </w:r>
            <w:r w:rsidR="000F43C5" w:rsidRPr="000F43C5">
              <w:rPr>
                <w:rStyle w:val="Hyperlink"/>
                <w:noProof/>
                <w:webHidden/>
              </w:rPr>
              <w:tab/>
            </w:r>
            <w:r w:rsidR="000F43C5" w:rsidRPr="000F43C5">
              <w:rPr>
                <w:rStyle w:val="Hyperlink"/>
                <w:noProof/>
                <w:webHidden/>
              </w:rPr>
              <w:fldChar w:fldCharType="begin"/>
            </w:r>
            <w:r w:rsidR="000F43C5" w:rsidRPr="000F43C5">
              <w:rPr>
                <w:rStyle w:val="Hyperlink"/>
                <w:noProof/>
                <w:webHidden/>
              </w:rPr>
              <w:instrText xml:space="preserve"> PAGEREF _Toc125637400 \h </w:instrText>
            </w:r>
            <w:r w:rsidR="000F43C5" w:rsidRPr="000F43C5">
              <w:rPr>
                <w:rStyle w:val="Hyperlink"/>
                <w:noProof/>
                <w:webHidden/>
              </w:rPr>
            </w:r>
            <w:r w:rsidR="000F43C5" w:rsidRPr="000F43C5">
              <w:rPr>
                <w:rStyle w:val="Hyperlink"/>
                <w:noProof/>
                <w:webHidden/>
              </w:rPr>
              <w:fldChar w:fldCharType="separate"/>
            </w:r>
            <w:r w:rsidR="000F43C5">
              <w:rPr>
                <w:rStyle w:val="Hyperlink"/>
                <w:noProof/>
                <w:webHidden/>
              </w:rPr>
              <w:t>1</w:t>
            </w:r>
            <w:r w:rsidR="000F43C5" w:rsidRPr="000F43C5">
              <w:rPr>
                <w:rStyle w:val="Hyperlink"/>
                <w:noProof/>
                <w:webHidden/>
              </w:rPr>
              <w:fldChar w:fldCharType="end"/>
            </w:r>
          </w:hyperlink>
        </w:p>
        <w:p w14:paraId="4D809DDA" w14:textId="3507B3E7" w:rsidR="000F43C5" w:rsidRPr="000F43C5" w:rsidRDefault="00731AD3" w:rsidP="00C25523">
          <w:pPr>
            <w:pStyle w:val="TOC1"/>
            <w:tabs>
              <w:tab w:val="clear" w:pos="567"/>
            </w:tabs>
            <w:rPr>
              <w:rStyle w:val="Hyperlink"/>
              <w:noProof/>
            </w:rPr>
          </w:pPr>
          <w:hyperlink w:anchor="_Toc125637401" w:history="1">
            <w:r w:rsidR="000F43C5" w:rsidRPr="00CB46BD">
              <w:rPr>
                <w:rStyle w:val="Hyperlink"/>
                <w:noProof/>
              </w:rPr>
              <w:t>Policy</w:t>
            </w:r>
            <w:r w:rsidR="000F43C5" w:rsidRPr="000F43C5">
              <w:rPr>
                <w:rStyle w:val="Hyperlink"/>
                <w:noProof/>
                <w:webHidden/>
              </w:rPr>
              <w:tab/>
            </w:r>
            <w:r w:rsidR="000F43C5" w:rsidRPr="000F43C5">
              <w:rPr>
                <w:rStyle w:val="Hyperlink"/>
                <w:noProof/>
                <w:webHidden/>
              </w:rPr>
              <w:fldChar w:fldCharType="begin"/>
            </w:r>
            <w:r w:rsidR="000F43C5" w:rsidRPr="000F43C5">
              <w:rPr>
                <w:rStyle w:val="Hyperlink"/>
                <w:noProof/>
                <w:webHidden/>
              </w:rPr>
              <w:instrText xml:space="preserve"> PAGEREF _Toc125637401 \h </w:instrText>
            </w:r>
            <w:r w:rsidR="000F43C5" w:rsidRPr="000F43C5">
              <w:rPr>
                <w:rStyle w:val="Hyperlink"/>
                <w:noProof/>
                <w:webHidden/>
              </w:rPr>
            </w:r>
            <w:r w:rsidR="000F43C5" w:rsidRPr="000F43C5">
              <w:rPr>
                <w:rStyle w:val="Hyperlink"/>
                <w:noProof/>
                <w:webHidden/>
              </w:rPr>
              <w:fldChar w:fldCharType="separate"/>
            </w:r>
            <w:r w:rsidR="000F43C5">
              <w:rPr>
                <w:rStyle w:val="Hyperlink"/>
                <w:noProof/>
                <w:webHidden/>
              </w:rPr>
              <w:t>1</w:t>
            </w:r>
            <w:r w:rsidR="000F43C5" w:rsidRPr="000F43C5">
              <w:rPr>
                <w:rStyle w:val="Hyperlink"/>
                <w:noProof/>
                <w:webHidden/>
              </w:rPr>
              <w:fldChar w:fldCharType="end"/>
            </w:r>
          </w:hyperlink>
        </w:p>
        <w:p w14:paraId="5A349D8B" w14:textId="65F42DC4" w:rsidR="000F43C5" w:rsidRDefault="00731AD3" w:rsidP="00C25523">
          <w:pPr>
            <w:pStyle w:val="TOC1"/>
            <w:tabs>
              <w:tab w:val="clear" w:pos="567"/>
            </w:tabs>
            <w:rPr>
              <w:rFonts w:asciiTheme="minorHAnsi" w:eastAsiaTheme="minorEastAsia" w:hAnsiTheme="minorHAnsi" w:cstheme="minorBidi"/>
              <w:noProof/>
              <w:szCs w:val="22"/>
              <w:lang w:eastAsia="en-GB"/>
            </w:rPr>
          </w:pPr>
          <w:hyperlink w:anchor="_Toc125637402" w:history="1">
            <w:r w:rsidR="000F43C5" w:rsidRPr="00CB46BD">
              <w:rPr>
                <w:rStyle w:val="Hyperlink"/>
                <w:noProof/>
              </w:rPr>
              <w:t>Confidentiality</w:t>
            </w:r>
            <w:r w:rsidR="000F43C5">
              <w:rPr>
                <w:noProof/>
                <w:webHidden/>
              </w:rPr>
              <w:tab/>
            </w:r>
            <w:r w:rsidR="000F43C5">
              <w:rPr>
                <w:noProof/>
                <w:webHidden/>
              </w:rPr>
              <w:fldChar w:fldCharType="begin"/>
            </w:r>
            <w:r w:rsidR="000F43C5">
              <w:rPr>
                <w:noProof/>
                <w:webHidden/>
              </w:rPr>
              <w:instrText xml:space="preserve"> PAGEREF _Toc125637402 \h </w:instrText>
            </w:r>
            <w:r w:rsidR="000F43C5">
              <w:rPr>
                <w:noProof/>
                <w:webHidden/>
              </w:rPr>
            </w:r>
            <w:r w:rsidR="000F43C5">
              <w:rPr>
                <w:noProof/>
                <w:webHidden/>
              </w:rPr>
              <w:fldChar w:fldCharType="separate"/>
            </w:r>
            <w:r w:rsidR="000F43C5">
              <w:rPr>
                <w:noProof/>
                <w:webHidden/>
              </w:rPr>
              <w:t>2</w:t>
            </w:r>
            <w:r w:rsidR="000F43C5">
              <w:rPr>
                <w:noProof/>
                <w:webHidden/>
              </w:rPr>
              <w:fldChar w:fldCharType="end"/>
            </w:r>
          </w:hyperlink>
        </w:p>
        <w:p w14:paraId="2F8CC62C" w14:textId="28857FB7" w:rsidR="000F43C5" w:rsidRDefault="00731AD3" w:rsidP="00C25523">
          <w:pPr>
            <w:pStyle w:val="TOC1"/>
            <w:tabs>
              <w:tab w:val="clear" w:pos="567"/>
            </w:tabs>
            <w:rPr>
              <w:rFonts w:asciiTheme="minorHAnsi" w:eastAsiaTheme="minorEastAsia" w:hAnsiTheme="minorHAnsi" w:cstheme="minorBidi"/>
              <w:noProof/>
              <w:szCs w:val="22"/>
              <w:lang w:eastAsia="en-GB"/>
            </w:rPr>
          </w:pPr>
          <w:hyperlink w:anchor="_Toc125637403" w:history="1">
            <w:r w:rsidR="000F43C5" w:rsidRPr="00CB46BD">
              <w:rPr>
                <w:rStyle w:val="Hyperlink"/>
                <w:noProof/>
              </w:rPr>
              <w:t>Acute Risk Factors</w:t>
            </w:r>
            <w:r w:rsidR="000F43C5">
              <w:rPr>
                <w:noProof/>
                <w:webHidden/>
              </w:rPr>
              <w:tab/>
            </w:r>
            <w:r w:rsidR="000F43C5">
              <w:rPr>
                <w:noProof/>
                <w:webHidden/>
              </w:rPr>
              <w:fldChar w:fldCharType="begin"/>
            </w:r>
            <w:r w:rsidR="000F43C5">
              <w:rPr>
                <w:noProof/>
                <w:webHidden/>
              </w:rPr>
              <w:instrText xml:space="preserve"> PAGEREF _Toc125637403 \h </w:instrText>
            </w:r>
            <w:r w:rsidR="000F43C5">
              <w:rPr>
                <w:noProof/>
                <w:webHidden/>
              </w:rPr>
            </w:r>
            <w:r w:rsidR="000F43C5">
              <w:rPr>
                <w:noProof/>
                <w:webHidden/>
              </w:rPr>
              <w:fldChar w:fldCharType="separate"/>
            </w:r>
            <w:r w:rsidR="000F43C5">
              <w:rPr>
                <w:noProof/>
                <w:webHidden/>
              </w:rPr>
              <w:t>2</w:t>
            </w:r>
            <w:r w:rsidR="000F43C5">
              <w:rPr>
                <w:noProof/>
                <w:webHidden/>
              </w:rPr>
              <w:fldChar w:fldCharType="end"/>
            </w:r>
          </w:hyperlink>
        </w:p>
        <w:p w14:paraId="469B564F" w14:textId="0F1D753B" w:rsidR="000F43C5" w:rsidRDefault="00731AD3" w:rsidP="00C25523">
          <w:pPr>
            <w:pStyle w:val="TOC1"/>
            <w:tabs>
              <w:tab w:val="clear" w:pos="567"/>
            </w:tabs>
            <w:rPr>
              <w:rFonts w:asciiTheme="minorHAnsi" w:eastAsiaTheme="minorEastAsia" w:hAnsiTheme="minorHAnsi" w:cstheme="minorBidi"/>
              <w:noProof/>
              <w:szCs w:val="22"/>
              <w:lang w:eastAsia="en-GB"/>
            </w:rPr>
          </w:pPr>
          <w:hyperlink w:anchor="_Toc125637404" w:history="1">
            <w:r w:rsidR="000F43C5" w:rsidRPr="00CB46BD">
              <w:rPr>
                <w:rStyle w:val="Hyperlink"/>
                <w:noProof/>
              </w:rPr>
              <w:t>Procedures</w:t>
            </w:r>
            <w:r w:rsidR="000F43C5">
              <w:rPr>
                <w:noProof/>
                <w:webHidden/>
              </w:rPr>
              <w:tab/>
            </w:r>
            <w:r w:rsidR="000F43C5">
              <w:rPr>
                <w:noProof/>
                <w:webHidden/>
              </w:rPr>
              <w:fldChar w:fldCharType="begin"/>
            </w:r>
            <w:r w:rsidR="000F43C5">
              <w:rPr>
                <w:noProof/>
                <w:webHidden/>
              </w:rPr>
              <w:instrText xml:space="preserve"> PAGEREF _Toc125637404 \h </w:instrText>
            </w:r>
            <w:r w:rsidR="000F43C5">
              <w:rPr>
                <w:noProof/>
                <w:webHidden/>
              </w:rPr>
            </w:r>
            <w:r w:rsidR="000F43C5">
              <w:rPr>
                <w:noProof/>
                <w:webHidden/>
              </w:rPr>
              <w:fldChar w:fldCharType="separate"/>
            </w:r>
            <w:r w:rsidR="000F43C5">
              <w:rPr>
                <w:noProof/>
                <w:webHidden/>
              </w:rPr>
              <w:t>3</w:t>
            </w:r>
            <w:r w:rsidR="000F43C5">
              <w:rPr>
                <w:noProof/>
                <w:webHidden/>
              </w:rPr>
              <w:fldChar w:fldCharType="end"/>
            </w:r>
          </w:hyperlink>
        </w:p>
        <w:p w14:paraId="504AE3BF" w14:textId="0BF2877A" w:rsidR="000F43C5" w:rsidRDefault="00731AD3" w:rsidP="00C25523">
          <w:pPr>
            <w:pStyle w:val="TOC1"/>
            <w:tabs>
              <w:tab w:val="clear" w:pos="567"/>
            </w:tabs>
            <w:rPr>
              <w:rFonts w:asciiTheme="minorHAnsi" w:eastAsiaTheme="minorEastAsia" w:hAnsiTheme="minorHAnsi" w:cstheme="minorBidi"/>
              <w:noProof/>
              <w:szCs w:val="22"/>
              <w:lang w:eastAsia="en-GB"/>
            </w:rPr>
          </w:pPr>
          <w:hyperlink w:anchor="_Toc125637405" w:history="1">
            <w:r w:rsidR="000F43C5" w:rsidRPr="00CB46BD">
              <w:rPr>
                <w:rStyle w:val="Hyperlink"/>
                <w:noProof/>
              </w:rPr>
              <w:t>Appendix A</w:t>
            </w:r>
            <w:r w:rsidR="000F43C5">
              <w:rPr>
                <w:noProof/>
                <w:webHidden/>
              </w:rPr>
              <w:tab/>
            </w:r>
            <w:r w:rsidR="000F43C5">
              <w:rPr>
                <w:noProof/>
                <w:webHidden/>
              </w:rPr>
              <w:fldChar w:fldCharType="begin"/>
            </w:r>
            <w:r w:rsidR="000F43C5">
              <w:rPr>
                <w:noProof/>
                <w:webHidden/>
              </w:rPr>
              <w:instrText xml:space="preserve"> PAGEREF _Toc125637405 \h </w:instrText>
            </w:r>
            <w:r w:rsidR="000F43C5">
              <w:rPr>
                <w:noProof/>
                <w:webHidden/>
              </w:rPr>
            </w:r>
            <w:r w:rsidR="000F43C5">
              <w:rPr>
                <w:noProof/>
                <w:webHidden/>
              </w:rPr>
              <w:fldChar w:fldCharType="separate"/>
            </w:r>
            <w:r w:rsidR="000F43C5">
              <w:rPr>
                <w:noProof/>
                <w:webHidden/>
              </w:rPr>
              <w:t>6</w:t>
            </w:r>
            <w:r w:rsidR="000F43C5">
              <w:rPr>
                <w:noProof/>
                <w:webHidden/>
              </w:rPr>
              <w:fldChar w:fldCharType="end"/>
            </w:r>
          </w:hyperlink>
        </w:p>
        <w:p w14:paraId="6410086D" w14:textId="37440C17" w:rsidR="000F43C5" w:rsidRDefault="00731AD3" w:rsidP="00C25523">
          <w:pPr>
            <w:pStyle w:val="TOC2"/>
            <w:rPr>
              <w:rFonts w:asciiTheme="minorHAnsi" w:eastAsiaTheme="minorEastAsia" w:hAnsiTheme="minorHAnsi" w:cstheme="minorBidi"/>
              <w:noProof/>
              <w:szCs w:val="22"/>
              <w:lang w:eastAsia="en-GB"/>
            </w:rPr>
          </w:pPr>
          <w:hyperlink w:anchor="_Toc125637406" w:history="1">
            <w:r w:rsidR="000F43C5" w:rsidRPr="00CB46BD">
              <w:rPr>
                <w:rStyle w:val="Hyperlink"/>
                <w:noProof/>
              </w:rPr>
              <w:t>Example Risk Assessment Procedures for Student Support and Wellbeing Services</w:t>
            </w:r>
            <w:r w:rsidR="000F43C5">
              <w:rPr>
                <w:noProof/>
                <w:webHidden/>
              </w:rPr>
              <w:tab/>
            </w:r>
            <w:r w:rsidR="000F43C5">
              <w:rPr>
                <w:noProof/>
                <w:webHidden/>
              </w:rPr>
              <w:fldChar w:fldCharType="begin"/>
            </w:r>
            <w:r w:rsidR="000F43C5">
              <w:rPr>
                <w:noProof/>
                <w:webHidden/>
              </w:rPr>
              <w:instrText xml:space="preserve"> PAGEREF _Toc125637406 \h </w:instrText>
            </w:r>
            <w:r w:rsidR="000F43C5">
              <w:rPr>
                <w:noProof/>
                <w:webHidden/>
              </w:rPr>
            </w:r>
            <w:r w:rsidR="000F43C5">
              <w:rPr>
                <w:noProof/>
                <w:webHidden/>
              </w:rPr>
              <w:fldChar w:fldCharType="separate"/>
            </w:r>
            <w:r w:rsidR="000F43C5">
              <w:rPr>
                <w:noProof/>
                <w:webHidden/>
              </w:rPr>
              <w:t>6</w:t>
            </w:r>
            <w:r w:rsidR="000F43C5">
              <w:rPr>
                <w:noProof/>
                <w:webHidden/>
              </w:rPr>
              <w:fldChar w:fldCharType="end"/>
            </w:r>
          </w:hyperlink>
        </w:p>
        <w:p w14:paraId="562028F8" w14:textId="7218463F" w:rsidR="000F43C5" w:rsidRDefault="00731AD3" w:rsidP="00C25523">
          <w:pPr>
            <w:pStyle w:val="TOC1"/>
            <w:tabs>
              <w:tab w:val="clear" w:pos="567"/>
            </w:tabs>
            <w:rPr>
              <w:rFonts w:asciiTheme="minorHAnsi" w:eastAsiaTheme="minorEastAsia" w:hAnsiTheme="minorHAnsi" w:cstheme="minorBidi"/>
              <w:noProof/>
              <w:szCs w:val="22"/>
              <w:lang w:eastAsia="en-GB"/>
            </w:rPr>
          </w:pPr>
          <w:hyperlink w:anchor="_Toc125637407" w:history="1">
            <w:r w:rsidR="000F43C5" w:rsidRPr="00CB46BD">
              <w:rPr>
                <w:rStyle w:val="Hyperlink"/>
                <w:noProof/>
              </w:rPr>
              <w:t>Appendix B</w:t>
            </w:r>
            <w:r w:rsidR="000F43C5">
              <w:rPr>
                <w:noProof/>
                <w:webHidden/>
              </w:rPr>
              <w:tab/>
            </w:r>
            <w:r w:rsidR="000F43C5">
              <w:rPr>
                <w:noProof/>
                <w:webHidden/>
              </w:rPr>
              <w:fldChar w:fldCharType="begin"/>
            </w:r>
            <w:r w:rsidR="000F43C5">
              <w:rPr>
                <w:noProof/>
                <w:webHidden/>
              </w:rPr>
              <w:instrText xml:space="preserve"> PAGEREF _Toc125637407 \h </w:instrText>
            </w:r>
            <w:r w:rsidR="000F43C5">
              <w:rPr>
                <w:noProof/>
                <w:webHidden/>
              </w:rPr>
            </w:r>
            <w:r w:rsidR="000F43C5">
              <w:rPr>
                <w:noProof/>
                <w:webHidden/>
              </w:rPr>
              <w:fldChar w:fldCharType="separate"/>
            </w:r>
            <w:r w:rsidR="000F43C5">
              <w:rPr>
                <w:noProof/>
                <w:webHidden/>
              </w:rPr>
              <w:t>7</w:t>
            </w:r>
            <w:r w:rsidR="000F43C5">
              <w:rPr>
                <w:noProof/>
                <w:webHidden/>
              </w:rPr>
              <w:fldChar w:fldCharType="end"/>
            </w:r>
          </w:hyperlink>
        </w:p>
        <w:p w14:paraId="2AD09719" w14:textId="7E283039" w:rsidR="000F43C5" w:rsidRDefault="00731AD3" w:rsidP="00C25523">
          <w:pPr>
            <w:pStyle w:val="TOC2"/>
            <w:rPr>
              <w:rFonts w:asciiTheme="minorHAnsi" w:eastAsiaTheme="minorEastAsia" w:hAnsiTheme="minorHAnsi" w:cstheme="minorBidi"/>
              <w:noProof/>
              <w:szCs w:val="22"/>
              <w:lang w:eastAsia="en-GB"/>
            </w:rPr>
          </w:pPr>
          <w:hyperlink w:anchor="_Toc125637408" w:history="1">
            <w:r w:rsidR="000F43C5" w:rsidRPr="00CB46BD">
              <w:rPr>
                <w:rStyle w:val="Hyperlink"/>
                <w:noProof/>
              </w:rPr>
              <w:t>Confidentiality guidelines</w:t>
            </w:r>
            <w:r w:rsidR="000F43C5">
              <w:rPr>
                <w:noProof/>
                <w:webHidden/>
              </w:rPr>
              <w:tab/>
            </w:r>
            <w:r w:rsidR="000F43C5">
              <w:rPr>
                <w:noProof/>
                <w:webHidden/>
              </w:rPr>
              <w:fldChar w:fldCharType="begin"/>
            </w:r>
            <w:r w:rsidR="000F43C5">
              <w:rPr>
                <w:noProof/>
                <w:webHidden/>
              </w:rPr>
              <w:instrText xml:space="preserve"> PAGEREF _Toc125637408 \h </w:instrText>
            </w:r>
            <w:r w:rsidR="000F43C5">
              <w:rPr>
                <w:noProof/>
                <w:webHidden/>
              </w:rPr>
            </w:r>
            <w:r w:rsidR="000F43C5">
              <w:rPr>
                <w:noProof/>
                <w:webHidden/>
              </w:rPr>
              <w:fldChar w:fldCharType="separate"/>
            </w:r>
            <w:r w:rsidR="000F43C5">
              <w:rPr>
                <w:noProof/>
                <w:webHidden/>
              </w:rPr>
              <w:t>7</w:t>
            </w:r>
            <w:r w:rsidR="000F43C5">
              <w:rPr>
                <w:noProof/>
                <w:webHidden/>
              </w:rPr>
              <w:fldChar w:fldCharType="end"/>
            </w:r>
          </w:hyperlink>
        </w:p>
        <w:p w14:paraId="0C1AD1FB" w14:textId="25AB6A94" w:rsidR="00765811" w:rsidRDefault="00765811" w:rsidP="00C25523">
          <w:r>
            <w:rPr>
              <w:b/>
              <w:bCs/>
              <w:noProof/>
            </w:rPr>
            <w:fldChar w:fldCharType="end"/>
          </w:r>
        </w:p>
      </w:sdtContent>
    </w:sdt>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p w14:paraId="2E8AFC54" w14:textId="77777777" w:rsidR="00B46334" w:rsidRPr="002C4016" w:rsidRDefault="00B46334" w:rsidP="00C25523">
      <w:pPr>
        <w:rPr>
          <w:lang w:eastAsia="en-US"/>
        </w:rPr>
      </w:pPr>
    </w:p>
    <w:bookmarkEnd w:id="1"/>
    <w:p w14:paraId="42C7DA72" w14:textId="77777777" w:rsidR="00765811" w:rsidRDefault="00765811" w:rsidP="00C25523">
      <w:pPr>
        <w:rPr>
          <w:rFonts w:asciiTheme="minorHAnsi" w:hAnsiTheme="minorHAnsi" w:cs="Arial"/>
          <w:b/>
          <w:color w:val="262626" w:themeColor="text1" w:themeTint="D9"/>
          <w:sz w:val="20"/>
          <w:szCs w:val="20"/>
        </w:rPr>
      </w:pPr>
    </w:p>
    <w:p w14:paraId="0810037F" w14:textId="77777777" w:rsidR="00765811" w:rsidRDefault="00765811" w:rsidP="00C25523">
      <w:pPr>
        <w:rPr>
          <w:rFonts w:asciiTheme="minorHAnsi" w:hAnsiTheme="minorHAnsi" w:cs="Arial"/>
          <w:b/>
          <w:color w:val="262626" w:themeColor="text1" w:themeTint="D9"/>
          <w:sz w:val="20"/>
          <w:szCs w:val="20"/>
        </w:rPr>
      </w:pPr>
    </w:p>
    <w:p w14:paraId="11D6CBEF" w14:textId="77777777" w:rsidR="00765811" w:rsidRDefault="00765811" w:rsidP="00C25523">
      <w:pPr>
        <w:spacing w:after="160" w:line="259" w:lineRule="auto"/>
        <w:rPr>
          <w:rFonts w:asciiTheme="minorHAnsi" w:hAnsiTheme="minorHAnsi" w:cs="Arial"/>
          <w:b/>
          <w:color w:val="262626" w:themeColor="text1" w:themeTint="D9"/>
          <w:sz w:val="20"/>
          <w:szCs w:val="20"/>
        </w:rPr>
        <w:sectPr w:rsidR="00765811">
          <w:pgSz w:w="11906" w:h="16838"/>
          <w:pgMar w:top="1440" w:right="1440" w:bottom="1440" w:left="1440" w:header="708" w:footer="708" w:gutter="0"/>
          <w:cols w:space="708"/>
          <w:docGrid w:linePitch="360"/>
        </w:sectPr>
      </w:pPr>
    </w:p>
    <w:p w14:paraId="1CD7B0F1" w14:textId="77777777" w:rsidR="000E296F" w:rsidRDefault="000E296F" w:rsidP="00CA3AB7">
      <w:pPr>
        <w:pStyle w:val="Heading1"/>
      </w:pPr>
      <w:bookmarkStart w:id="2" w:name="_Toc125637399"/>
      <w:bookmarkStart w:id="3" w:name="_Toc501110684"/>
      <w:bookmarkStart w:id="4" w:name="_Toc62574382"/>
      <w:r>
        <w:lastRenderedPageBreak/>
        <w:t>Statement of Intent</w:t>
      </w:r>
      <w:bookmarkEnd w:id="2"/>
    </w:p>
    <w:p w14:paraId="19ABCE4B" w14:textId="239BB79A" w:rsidR="000E296F" w:rsidRDefault="000E296F" w:rsidP="00CA3AB7">
      <w:r>
        <w:t>The aim of this policy</w:t>
      </w:r>
      <w:r w:rsidR="00C25523">
        <w:t>,</w:t>
      </w:r>
      <w:r>
        <w:t xml:space="preserve"> and the accompanying procedures, is to provide a framework for reactive crisis management in </w:t>
      </w:r>
      <w:r w:rsidR="00C25523">
        <w:t xml:space="preserve">cases where acute risk has </w:t>
      </w:r>
      <w:r>
        <w:t xml:space="preserve">been identified and the probability of a student causing harm to themselves or others is considered to be both imminent and high. </w:t>
      </w:r>
    </w:p>
    <w:p w14:paraId="11D15E78" w14:textId="77777777" w:rsidR="000E296F" w:rsidRDefault="000E296F" w:rsidP="00CA3AB7"/>
    <w:p w14:paraId="6F15C452" w14:textId="4DA88039" w:rsidR="000E296F" w:rsidRDefault="00B533EF" w:rsidP="00B533EF">
      <w:r>
        <w:t xml:space="preserve">It is written primarily for advisers working within the </w:t>
      </w:r>
      <w:r w:rsidR="0061352E">
        <w:t>Student Support and Wellbeing services</w:t>
      </w:r>
      <w:r>
        <w:t xml:space="preserve"> (possibly working out of hours)</w:t>
      </w:r>
      <w:r w:rsidR="0061352E">
        <w:t>; h</w:t>
      </w:r>
      <w:r>
        <w:t xml:space="preserve">owever, it may also be relevant for use by other members of </w:t>
      </w:r>
      <w:r w:rsidR="0061352E">
        <w:t>university</w:t>
      </w:r>
      <w:r>
        <w:t xml:space="preserve"> </w:t>
      </w:r>
      <w:r w:rsidR="00C25523">
        <w:t>s</w:t>
      </w:r>
      <w:r w:rsidR="000E296F">
        <w:t>upport staff who work directly with students on campus.</w:t>
      </w:r>
    </w:p>
    <w:p w14:paraId="7A493E86" w14:textId="77777777" w:rsidR="002C1DF2" w:rsidRDefault="002C1DF2" w:rsidP="00CA3AB7"/>
    <w:p w14:paraId="52AF6CFD" w14:textId="10A07570" w:rsidR="000E296F" w:rsidRDefault="000E296F" w:rsidP="00CA3AB7">
      <w:pPr>
        <w:pStyle w:val="Heading1"/>
        <w:spacing w:before="1"/>
      </w:pPr>
      <w:bookmarkStart w:id="5" w:name="_Toc125637400"/>
      <w:r>
        <w:t>Scope</w:t>
      </w:r>
      <w:bookmarkEnd w:id="5"/>
    </w:p>
    <w:p w14:paraId="77AB9B79" w14:textId="77777777" w:rsidR="0061352E" w:rsidRDefault="0061352E" w:rsidP="00CA3AB7">
      <w:r>
        <w:t>The policy is applicable to a</w:t>
      </w:r>
      <w:r w:rsidR="000E296F">
        <w:t xml:space="preserve">ll </w:t>
      </w:r>
      <w:r w:rsidR="00C25523">
        <w:t>u</w:t>
      </w:r>
      <w:r w:rsidR="000E296F">
        <w:t xml:space="preserve">niversity employees, support staff, students, associate lecturers and third-party staff (such as associate counsellors, clinical supervisors, contractors and volunteers). </w:t>
      </w:r>
    </w:p>
    <w:p w14:paraId="5EE23780" w14:textId="77777777" w:rsidR="0061352E" w:rsidRDefault="0061352E" w:rsidP="00CA3AB7"/>
    <w:p w14:paraId="2EF50C57" w14:textId="0D7865B3" w:rsidR="000E296F" w:rsidRDefault="000E296F" w:rsidP="00CA3AB7">
      <w:r>
        <w:t>The policy is written to cover acute risk issues which may occur on campus only. Staff involved with an incident of acute risk with a student which occurs off campus, should contact the Emergency Services immediately.</w:t>
      </w:r>
    </w:p>
    <w:p w14:paraId="34A9C1EC" w14:textId="77777777" w:rsidR="002C1DF2" w:rsidRDefault="002C1DF2" w:rsidP="00CA3AB7"/>
    <w:p w14:paraId="03779842" w14:textId="77777777" w:rsidR="000E296F" w:rsidRDefault="000E296F" w:rsidP="00CA3AB7">
      <w:pPr>
        <w:pStyle w:val="Heading1"/>
        <w:spacing w:before="0"/>
      </w:pPr>
      <w:bookmarkStart w:id="6" w:name="_bookmark2"/>
      <w:bookmarkStart w:id="7" w:name="_Toc125637401"/>
      <w:bookmarkEnd w:id="6"/>
      <w:r>
        <w:t>Policy</w:t>
      </w:r>
      <w:bookmarkEnd w:id="7"/>
    </w:p>
    <w:p w14:paraId="1E18DC6B" w14:textId="77777777" w:rsidR="000E296F" w:rsidRDefault="000E296F" w:rsidP="00CA3AB7">
      <w:pPr>
        <w:pStyle w:val="ListParagraph"/>
        <w:widowControl w:val="0"/>
        <w:numPr>
          <w:ilvl w:val="0"/>
          <w:numId w:val="15"/>
        </w:numPr>
        <w:tabs>
          <w:tab w:val="left" w:pos="999"/>
        </w:tabs>
        <w:autoSpaceDE w:val="0"/>
        <w:autoSpaceDN w:val="0"/>
        <w:spacing w:before="120"/>
        <w:contextualSpacing w:val="0"/>
      </w:pPr>
      <w:r>
        <w:t>All forms of suicidal ideation and threats of harm to self or others by students will be taken</w:t>
      </w:r>
      <w:r>
        <w:rPr>
          <w:spacing w:val="-1"/>
        </w:rPr>
        <w:t xml:space="preserve"> </w:t>
      </w:r>
      <w:r>
        <w:t>seriously.</w:t>
      </w:r>
    </w:p>
    <w:p w14:paraId="3ACCB071" w14:textId="4D85BF2C" w:rsidR="000E296F" w:rsidRDefault="000E296F" w:rsidP="00CA3AB7">
      <w:pPr>
        <w:pStyle w:val="ListParagraph"/>
        <w:widowControl w:val="0"/>
        <w:numPr>
          <w:ilvl w:val="0"/>
          <w:numId w:val="15"/>
        </w:numPr>
        <w:tabs>
          <w:tab w:val="left" w:pos="999"/>
        </w:tabs>
        <w:autoSpaceDE w:val="0"/>
        <w:autoSpaceDN w:val="0"/>
        <w:spacing w:before="120"/>
        <w:contextualSpacing w:val="0"/>
      </w:pPr>
      <w:r>
        <w:t xml:space="preserve">Any student seeking support from the Wellbeing Service or </w:t>
      </w:r>
      <w:r w:rsidR="00C25523">
        <w:t xml:space="preserve">the </w:t>
      </w:r>
      <w:r>
        <w:t xml:space="preserve">Health Service may be asked questions relating to risk of harm to themselves or others, in line with the Wellbeing </w:t>
      </w:r>
      <w:r w:rsidR="00C25523">
        <w:t xml:space="preserve">risk assessment </w:t>
      </w:r>
      <w:r>
        <w:t>procedure (see Appendix</w:t>
      </w:r>
      <w:r>
        <w:rPr>
          <w:spacing w:val="-6"/>
        </w:rPr>
        <w:t xml:space="preserve"> </w:t>
      </w:r>
      <w:r>
        <w:t>A).</w:t>
      </w:r>
    </w:p>
    <w:p w14:paraId="5999A209" w14:textId="05B29BFA" w:rsidR="000E296F" w:rsidRDefault="000E296F" w:rsidP="00CA3AB7">
      <w:pPr>
        <w:pStyle w:val="ListParagraph"/>
        <w:widowControl w:val="0"/>
        <w:numPr>
          <w:ilvl w:val="0"/>
          <w:numId w:val="15"/>
        </w:numPr>
        <w:tabs>
          <w:tab w:val="left" w:pos="999"/>
        </w:tabs>
        <w:autoSpaceDE w:val="0"/>
        <w:autoSpaceDN w:val="0"/>
        <w:spacing w:before="121"/>
        <w:contextualSpacing w:val="0"/>
        <w:jc w:val="both"/>
      </w:pPr>
      <w:r>
        <w:t xml:space="preserve">This policy covers incidents </w:t>
      </w:r>
      <w:r w:rsidR="00C25523">
        <w:t xml:space="preserve">of acute risk, when </w:t>
      </w:r>
      <w:r>
        <w:t>a student (who may or may not have been assessed for risk by the Wellbeing Service) may become suicidal or show signs of risk of harm to self or</w:t>
      </w:r>
      <w:r>
        <w:rPr>
          <w:spacing w:val="-11"/>
        </w:rPr>
        <w:t xml:space="preserve"> </w:t>
      </w:r>
      <w:r>
        <w:t>others.</w:t>
      </w:r>
    </w:p>
    <w:p w14:paraId="75EA1BF1" w14:textId="07D31BE0" w:rsidR="000E296F" w:rsidRDefault="000E296F" w:rsidP="00CA3AB7">
      <w:pPr>
        <w:pStyle w:val="ListParagraph"/>
        <w:widowControl w:val="0"/>
        <w:numPr>
          <w:ilvl w:val="0"/>
          <w:numId w:val="15"/>
        </w:numPr>
        <w:tabs>
          <w:tab w:val="left" w:pos="999"/>
        </w:tabs>
        <w:autoSpaceDE w:val="0"/>
        <w:autoSpaceDN w:val="0"/>
        <w:spacing w:before="120"/>
        <w:contextualSpacing w:val="0"/>
      </w:pPr>
      <w:r>
        <w:t xml:space="preserve">This policy covers threats of potential harm or risk to </w:t>
      </w:r>
      <w:r w:rsidR="00C25523">
        <w:t>university employees and associate staff/ contractors</w:t>
      </w:r>
      <w:r>
        <w:t>, should a student or other person(s) display aggressive and/or unacceptable behaviour towards them or other(s) at any time on campus or over the phone.</w:t>
      </w:r>
    </w:p>
    <w:p w14:paraId="313EE33D" w14:textId="77777777" w:rsidR="000E296F" w:rsidRDefault="000E296F" w:rsidP="00CA3AB7">
      <w:pPr>
        <w:pStyle w:val="ListParagraph"/>
        <w:widowControl w:val="0"/>
        <w:numPr>
          <w:ilvl w:val="0"/>
          <w:numId w:val="15"/>
        </w:numPr>
        <w:tabs>
          <w:tab w:val="left" w:pos="999"/>
        </w:tabs>
        <w:autoSpaceDE w:val="0"/>
        <w:autoSpaceDN w:val="0"/>
        <w:spacing w:before="121"/>
        <w:ind w:hanging="361"/>
        <w:contextualSpacing w:val="0"/>
      </w:pPr>
      <w:r>
        <w:t>This policy operates in line with all other University of Chichester Policies,</w:t>
      </w:r>
      <w:r>
        <w:rPr>
          <w:spacing w:val="-9"/>
        </w:rPr>
        <w:t xml:space="preserve"> </w:t>
      </w:r>
      <w:r>
        <w:t>including:</w:t>
      </w:r>
    </w:p>
    <w:p w14:paraId="3EF96212" w14:textId="77777777" w:rsidR="000E296F" w:rsidRPr="00E27E8C" w:rsidRDefault="00731AD3" w:rsidP="00CA3AB7">
      <w:pPr>
        <w:pStyle w:val="ListParagraph"/>
        <w:widowControl w:val="0"/>
        <w:numPr>
          <w:ilvl w:val="0"/>
          <w:numId w:val="16"/>
        </w:numPr>
        <w:tabs>
          <w:tab w:val="left" w:pos="2078"/>
          <w:tab w:val="left" w:pos="2079"/>
        </w:tabs>
        <w:autoSpaceDE w:val="0"/>
        <w:autoSpaceDN w:val="0"/>
        <w:spacing w:before="121"/>
      </w:pPr>
      <w:hyperlink r:id="rId12">
        <w:r w:rsidR="000E296F" w:rsidRPr="00E27E8C">
          <w:rPr>
            <w:rStyle w:val="Hyperlink"/>
          </w:rPr>
          <w:t>Safeguarding and Prevent Duty Policy</w:t>
        </w:r>
      </w:hyperlink>
    </w:p>
    <w:p w14:paraId="69A040B4" w14:textId="77777777" w:rsidR="000E296F" w:rsidRPr="00E27E8C" w:rsidRDefault="00731AD3" w:rsidP="00CA3AB7">
      <w:pPr>
        <w:pStyle w:val="ListParagraph"/>
        <w:widowControl w:val="0"/>
        <w:numPr>
          <w:ilvl w:val="0"/>
          <w:numId w:val="16"/>
        </w:numPr>
        <w:tabs>
          <w:tab w:val="left" w:pos="2078"/>
          <w:tab w:val="left" w:pos="2079"/>
        </w:tabs>
        <w:autoSpaceDE w:val="0"/>
        <w:autoSpaceDN w:val="0"/>
        <w:spacing w:before="117"/>
      </w:pPr>
      <w:hyperlink r:id="rId13">
        <w:r w:rsidR="000E296F" w:rsidRPr="00E27E8C">
          <w:rPr>
            <w:rStyle w:val="Hyperlink"/>
          </w:rPr>
          <w:t>Positive Mental Health Policy</w:t>
        </w:r>
      </w:hyperlink>
    </w:p>
    <w:p w14:paraId="43DF3027" w14:textId="45C4B019" w:rsidR="000E296F" w:rsidRPr="00E27E8C" w:rsidRDefault="00731AD3" w:rsidP="00CA3AB7">
      <w:pPr>
        <w:pStyle w:val="ListParagraph"/>
        <w:widowControl w:val="0"/>
        <w:numPr>
          <w:ilvl w:val="0"/>
          <w:numId w:val="16"/>
        </w:numPr>
        <w:tabs>
          <w:tab w:val="left" w:pos="2078"/>
          <w:tab w:val="left" w:pos="2079"/>
        </w:tabs>
        <w:autoSpaceDE w:val="0"/>
        <w:autoSpaceDN w:val="0"/>
        <w:spacing w:before="119"/>
      </w:pPr>
      <w:hyperlink r:id="rId14">
        <w:r w:rsidR="000E296F" w:rsidRPr="00E27E8C">
          <w:rPr>
            <w:rStyle w:val="Hyperlink"/>
          </w:rPr>
          <w:t>Sexual Assault and Sexual Misconduct Policy</w:t>
        </w:r>
      </w:hyperlink>
    </w:p>
    <w:p w14:paraId="64472C92" w14:textId="1D51478A" w:rsidR="000E296F" w:rsidRPr="00E27E8C" w:rsidRDefault="00731AD3" w:rsidP="00CA3AB7">
      <w:pPr>
        <w:pStyle w:val="ListParagraph"/>
        <w:widowControl w:val="0"/>
        <w:numPr>
          <w:ilvl w:val="0"/>
          <w:numId w:val="16"/>
        </w:numPr>
        <w:tabs>
          <w:tab w:val="left" w:pos="2078"/>
          <w:tab w:val="left" w:pos="2079"/>
        </w:tabs>
        <w:autoSpaceDE w:val="0"/>
        <w:autoSpaceDN w:val="0"/>
        <w:spacing w:before="117"/>
      </w:pPr>
      <w:hyperlink r:id="rId15">
        <w:r w:rsidR="000E296F" w:rsidRPr="00E27E8C">
          <w:rPr>
            <w:rStyle w:val="Hyperlink"/>
          </w:rPr>
          <w:t xml:space="preserve">Fitness to Study </w:t>
        </w:r>
        <w:r w:rsidR="00E27E8C" w:rsidRPr="00E27E8C">
          <w:rPr>
            <w:rStyle w:val="Hyperlink"/>
          </w:rPr>
          <w:t xml:space="preserve">Procedure and </w:t>
        </w:r>
        <w:r w:rsidR="000E296F" w:rsidRPr="00E27E8C">
          <w:rPr>
            <w:rStyle w:val="Hyperlink"/>
          </w:rPr>
          <w:t>Policy</w:t>
        </w:r>
      </w:hyperlink>
    </w:p>
    <w:p w14:paraId="1985C62B" w14:textId="77777777" w:rsidR="000E296F" w:rsidRPr="00E27E8C" w:rsidRDefault="00731AD3" w:rsidP="00CA3AB7">
      <w:pPr>
        <w:pStyle w:val="ListParagraph"/>
        <w:widowControl w:val="0"/>
        <w:numPr>
          <w:ilvl w:val="0"/>
          <w:numId w:val="16"/>
        </w:numPr>
        <w:tabs>
          <w:tab w:val="left" w:pos="2078"/>
          <w:tab w:val="left" w:pos="2079"/>
        </w:tabs>
        <w:autoSpaceDE w:val="0"/>
        <w:autoSpaceDN w:val="0"/>
        <w:spacing w:before="120"/>
      </w:pPr>
      <w:hyperlink r:id="rId16">
        <w:r w:rsidR="000E296F" w:rsidRPr="00E27E8C">
          <w:rPr>
            <w:rStyle w:val="Hyperlink"/>
          </w:rPr>
          <w:t>Professional Suitability and Fitness to Practise Policy</w:t>
        </w:r>
      </w:hyperlink>
    </w:p>
    <w:p w14:paraId="3C100D07" w14:textId="16E88EBE" w:rsidR="000E296F" w:rsidRPr="00E27E8C" w:rsidRDefault="000E296F" w:rsidP="00CA3AB7">
      <w:pPr>
        <w:pStyle w:val="ListParagraph"/>
        <w:widowControl w:val="0"/>
        <w:numPr>
          <w:ilvl w:val="0"/>
          <w:numId w:val="16"/>
        </w:numPr>
        <w:tabs>
          <w:tab w:val="left" w:pos="2078"/>
          <w:tab w:val="left" w:pos="2079"/>
        </w:tabs>
        <w:autoSpaceDE w:val="0"/>
        <w:autoSpaceDN w:val="0"/>
        <w:spacing w:before="119" w:line="237" w:lineRule="auto"/>
      </w:pPr>
      <w:r>
        <w:t>the University’s</w:t>
      </w:r>
      <w:r w:rsidRPr="000E296F">
        <w:rPr>
          <w:color w:val="000099"/>
        </w:rPr>
        <w:t xml:space="preserve"> </w:t>
      </w:r>
      <w:hyperlink r:id="rId17">
        <w:r w:rsidRPr="00E27E8C">
          <w:rPr>
            <w:rStyle w:val="Hyperlink"/>
          </w:rPr>
          <w:t>Privacy Standard and Privacy Notices</w:t>
        </w:r>
        <w:r w:rsidRPr="000E296F">
          <w:rPr>
            <w:color w:val="000099"/>
          </w:rPr>
          <w:t xml:space="preserve"> </w:t>
        </w:r>
      </w:hyperlink>
      <w:r>
        <w:t>and the</w:t>
      </w:r>
      <w:r w:rsidRPr="00E27E8C">
        <w:t xml:space="preserve"> Student</w:t>
      </w:r>
      <w:r w:rsidR="00E27E8C">
        <w:fldChar w:fldCharType="begin"/>
      </w:r>
      <w:r w:rsidR="00E27E8C">
        <w:instrText xml:space="preserve"> HYPERLINK "https://www.chi.ac.uk/student-life/support-health-wellbeing/student-support-and-wellbeing-privacy-notice/" </w:instrText>
      </w:r>
      <w:r w:rsidR="00E27E8C">
        <w:fldChar w:fldCharType="separate"/>
      </w:r>
      <w:r w:rsidRPr="00E27E8C">
        <w:t xml:space="preserve"> </w:t>
      </w:r>
      <w:r w:rsidRPr="00E27E8C">
        <w:rPr>
          <w:rStyle w:val="Hyperlink"/>
        </w:rPr>
        <w:t>Support and Wellbeing Privacy Notice</w:t>
      </w:r>
      <w:r w:rsidRPr="00E27E8C">
        <w:t>.</w:t>
      </w:r>
    </w:p>
    <w:p w14:paraId="72A5300E" w14:textId="617741CE" w:rsidR="000E296F" w:rsidRDefault="000E296F" w:rsidP="00CA3AB7">
      <w:pPr>
        <w:pStyle w:val="ListParagraph"/>
        <w:widowControl w:val="0"/>
        <w:numPr>
          <w:ilvl w:val="0"/>
          <w:numId w:val="15"/>
        </w:numPr>
        <w:tabs>
          <w:tab w:val="left" w:pos="999"/>
        </w:tabs>
        <w:autoSpaceDE w:val="0"/>
        <w:autoSpaceDN w:val="0"/>
        <w:spacing w:before="120"/>
        <w:contextualSpacing w:val="0"/>
      </w:pPr>
      <w:r w:rsidRPr="00E27E8C">
        <w:t>In ad</w:t>
      </w:r>
      <w:r w:rsidR="00E27E8C">
        <w:fldChar w:fldCharType="end"/>
      </w:r>
      <w:r w:rsidRPr="007270E7">
        <w:t xml:space="preserve">dition this policy operates in line with the </w:t>
      </w:r>
      <w:hyperlink r:id="rId18">
        <w:r w:rsidRPr="007270E7">
          <w:rPr>
            <w:rStyle w:val="Hyperlink"/>
          </w:rPr>
          <w:t>B</w:t>
        </w:r>
        <w:r w:rsidR="002C1DF2" w:rsidRPr="007270E7">
          <w:rPr>
            <w:rStyle w:val="Hyperlink"/>
          </w:rPr>
          <w:t>AC</w:t>
        </w:r>
        <w:r w:rsidRPr="007270E7">
          <w:rPr>
            <w:rStyle w:val="Hyperlink"/>
          </w:rPr>
          <w:t>P Ethical Framework (2018)</w:t>
        </w:r>
      </w:hyperlink>
      <w:r w:rsidR="002C1DF2" w:rsidRPr="007270E7">
        <w:rPr>
          <w:vertAlign w:val="superscript"/>
        </w:rPr>
        <w:footnoteReference w:id="1"/>
      </w:r>
      <w:r w:rsidRPr="007270E7">
        <w:t>, and the</w:t>
      </w:r>
      <w:hyperlink r:id="rId19">
        <w:r w:rsidRPr="007270E7">
          <w:t xml:space="preserve"> </w:t>
        </w:r>
        <w:r w:rsidRPr="007270E7">
          <w:rPr>
            <w:rStyle w:val="Hyperlink"/>
          </w:rPr>
          <w:t>NMC Code (2015 updated 2018)</w:t>
        </w:r>
      </w:hyperlink>
      <w:r w:rsidR="00AC4C1D">
        <w:rPr>
          <w:rStyle w:val="FootnoteReference"/>
          <w:color w:val="000099"/>
          <w:u w:val="single" w:color="000099"/>
        </w:rPr>
        <w:footnoteReference w:id="2"/>
      </w:r>
      <w:r>
        <w:t>.</w:t>
      </w:r>
    </w:p>
    <w:p w14:paraId="66D22D6B" w14:textId="77777777" w:rsidR="007270E7" w:rsidRDefault="007270E7" w:rsidP="00CA3AB7">
      <w:pPr>
        <w:pStyle w:val="ListParagraph"/>
        <w:keepLines/>
        <w:widowControl w:val="0"/>
        <w:numPr>
          <w:ilvl w:val="0"/>
          <w:numId w:val="15"/>
        </w:numPr>
        <w:tabs>
          <w:tab w:val="left" w:pos="999"/>
        </w:tabs>
        <w:autoSpaceDE w:val="0"/>
        <w:autoSpaceDN w:val="0"/>
        <w:spacing w:before="121"/>
        <w:ind w:left="363" w:hanging="363"/>
        <w:contextualSpacing w:val="0"/>
      </w:pPr>
      <w:r>
        <w:t>Appropriate action must be taken in the case of every student contemplating suicide or harm to self or others - whether it is a chronic or an acute</w:t>
      </w:r>
      <w:r w:rsidRPr="007270E7">
        <w:t xml:space="preserve"> </w:t>
      </w:r>
      <w:r>
        <w:t>ideation.</w:t>
      </w:r>
    </w:p>
    <w:p w14:paraId="2825599C" w14:textId="066E9911" w:rsidR="007270E7" w:rsidRDefault="007270E7" w:rsidP="00CA3AB7">
      <w:pPr>
        <w:pStyle w:val="ListParagraph"/>
        <w:numPr>
          <w:ilvl w:val="0"/>
          <w:numId w:val="15"/>
        </w:numPr>
        <w:tabs>
          <w:tab w:val="left" w:pos="999"/>
        </w:tabs>
        <w:autoSpaceDE w:val="0"/>
        <w:autoSpaceDN w:val="0"/>
        <w:spacing w:before="121"/>
        <w:ind w:left="363" w:hanging="363"/>
        <w:contextualSpacing w:val="0"/>
      </w:pPr>
      <w:r>
        <w:lastRenderedPageBreak/>
        <w:t>In cases where the student is showing imminent signs</w:t>
      </w:r>
      <w:r w:rsidR="00E27E8C">
        <w:t xml:space="preserve"> of acute risk of </w:t>
      </w:r>
      <w:r>
        <w:t>harm to themselves, is expressing ideation, or has intent to harm themselves or others, then this policy will be implemented</w:t>
      </w:r>
      <w:r w:rsidRPr="007270E7">
        <w:t xml:space="preserve"> </w:t>
      </w:r>
      <w:r>
        <w:t>immediately.</w:t>
      </w:r>
    </w:p>
    <w:p w14:paraId="3BEB7330" w14:textId="77777777" w:rsidR="007270E7" w:rsidRDefault="007270E7" w:rsidP="00CA3AB7">
      <w:pPr>
        <w:pStyle w:val="ListParagraph"/>
        <w:widowControl w:val="0"/>
        <w:numPr>
          <w:ilvl w:val="0"/>
          <w:numId w:val="15"/>
        </w:numPr>
        <w:tabs>
          <w:tab w:val="left" w:pos="999"/>
        </w:tabs>
        <w:autoSpaceDE w:val="0"/>
        <w:autoSpaceDN w:val="0"/>
        <w:spacing w:before="121"/>
        <w:ind w:hanging="361"/>
        <w:contextualSpacing w:val="0"/>
      </w:pPr>
      <w:r>
        <w:t xml:space="preserve">When in doubt whether a situation is high or low risk, the default response must be in line with the </w:t>
      </w:r>
      <w:r w:rsidRPr="007270E7">
        <w:rPr>
          <w:u w:val="single"/>
        </w:rPr>
        <w:t>high-risk possibility</w:t>
      </w:r>
      <w:r w:rsidRPr="007270E7">
        <w:t>.</w:t>
      </w:r>
    </w:p>
    <w:p w14:paraId="7C1E6ED7" w14:textId="77777777" w:rsidR="007270E7" w:rsidRDefault="007270E7" w:rsidP="00CA3AB7"/>
    <w:p w14:paraId="2E072140" w14:textId="77777777" w:rsidR="007270E7" w:rsidRDefault="007270E7" w:rsidP="00CA3AB7">
      <w:pPr>
        <w:pStyle w:val="Heading1"/>
        <w:spacing w:before="93"/>
      </w:pPr>
      <w:bookmarkStart w:id="8" w:name="_Toc125637402"/>
      <w:r>
        <w:t>Confidentiality</w:t>
      </w:r>
      <w:bookmarkEnd w:id="8"/>
    </w:p>
    <w:p w14:paraId="62936E89" w14:textId="1F783B42" w:rsidR="007270E7" w:rsidRDefault="00E27E8C" w:rsidP="00CA3AB7">
      <w:pPr>
        <w:pStyle w:val="BodyText"/>
        <w:spacing w:before="119"/>
      </w:pPr>
      <w:r>
        <w:t>Student Support and Wellbeing</w:t>
      </w:r>
      <w:r w:rsidR="0040499C">
        <w:t xml:space="preserve"> services</w:t>
      </w:r>
      <w:r w:rsidR="007270E7">
        <w:t xml:space="preserve"> operate within strict confidentiality guidelines; however, in exceptional circumstances, when the safety of the student or another person is at risk or if there is a legal requirement, it may be necessary to extend confidentiality with or without the consent of the student.</w:t>
      </w:r>
    </w:p>
    <w:p w14:paraId="4D047940" w14:textId="08081D84" w:rsidR="007270E7" w:rsidRPr="007270E7" w:rsidRDefault="007270E7" w:rsidP="00E27E8C">
      <w:pPr>
        <w:pStyle w:val="ListParagraph"/>
        <w:widowControl w:val="0"/>
        <w:numPr>
          <w:ilvl w:val="0"/>
          <w:numId w:val="18"/>
        </w:numPr>
        <w:autoSpaceDE w:val="0"/>
        <w:autoSpaceDN w:val="0"/>
        <w:spacing w:before="120"/>
        <w:ind w:left="714" w:hanging="357"/>
        <w:contextualSpacing w:val="0"/>
        <w:rPr>
          <w:rFonts w:ascii="Symbol" w:hAnsi="Symbol"/>
        </w:rPr>
      </w:pPr>
      <w:r>
        <w:t xml:space="preserve">In exceptional circumstances, the need to safeguard </w:t>
      </w:r>
      <w:r w:rsidR="00E27E8C">
        <w:t>students</w:t>
      </w:r>
      <w:r>
        <w:t xml:space="preserve"> or others from serious harm may require us to override our commitment to making </w:t>
      </w:r>
      <w:r w:rsidR="00E27E8C">
        <w:t>students’</w:t>
      </w:r>
      <w:r>
        <w:t xml:space="preserve"> wishes and confidentiality our primary concern. We may need to act in ways that will support any investigations or actions necessary to prevent serious harm to </w:t>
      </w:r>
      <w:r w:rsidR="009C35ED">
        <w:t>students</w:t>
      </w:r>
      <w:r>
        <w:t xml:space="preserve"> or others. In such circumstances, we will do our best to respect the parts of </w:t>
      </w:r>
      <w:r w:rsidR="0040499C">
        <w:t>students’</w:t>
      </w:r>
      <w:r>
        <w:t xml:space="preserve"> wishes or confidences that do not need to be overridden in order to prevent serious harm. </w:t>
      </w:r>
    </w:p>
    <w:p w14:paraId="3FAC7347" w14:textId="3A611450" w:rsidR="007270E7" w:rsidRPr="007270E7" w:rsidRDefault="007270E7" w:rsidP="00E27E8C">
      <w:pPr>
        <w:pStyle w:val="ListParagraph"/>
        <w:widowControl w:val="0"/>
        <w:numPr>
          <w:ilvl w:val="0"/>
          <w:numId w:val="18"/>
        </w:numPr>
        <w:autoSpaceDE w:val="0"/>
        <w:autoSpaceDN w:val="0"/>
        <w:spacing w:before="120"/>
        <w:ind w:left="714" w:hanging="357"/>
        <w:contextualSpacing w:val="0"/>
        <w:rPr>
          <w:rFonts w:ascii="Symbol" w:hAnsi="Symbol"/>
        </w:rPr>
      </w:pPr>
      <w:r>
        <w:t xml:space="preserve">Confidentiality may need to be extended with or without the consent of the </w:t>
      </w:r>
      <w:r w:rsidR="00E27E8C">
        <w:t>student</w:t>
      </w:r>
      <w:r>
        <w:t xml:space="preserve"> when the safeguarding of the student or others is paramount. </w:t>
      </w:r>
    </w:p>
    <w:p w14:paraId="55CF3B44" w14:textId="77777777" w:rsidR="007270E7" w:rsidRPr="007270E7" w:rsidRDefault="007270E7" w:rsidP="00E27E8C">
      <w:pPr>
        <w:pStyle w:val="ListParagraph"/>
        <w:widowControl w:val="0"/>
        <w:numPr>
          <w:ilvl w:val="0"/>
          <w:numId w:val="18"/>
        </w:numPr>
        <w:autoSpaceDE w:val="0"/>
        <w:autoSpaceDN w:val="0"/>
        <w:spacing w:before="120" w:line="237" w:lineRule="auto"/>
        <w:ind w:left="714" w:hanging="357"/>
        <w:contextualSpacing w:val="0"/>
        <w:rPr>
          <w:rFonts w:ascii="Symbol" w:hAnsi="Symbol"/>
        </w:rPr>
      </w:pPr>
      <w:r>
        <w:t>Confidentiality may need to be extended where disclosure is required by law e.g. a court subpoenas records required in court or under prevention of terrorism</w:t>
      </w:r>
      <w:r w:rsidRPr="007270E7">
        <w:rPr>
          <w:spacing w:val="-26"/>
        </w:rPr>
        <w:t xml:space="preserve"> </w:t>
      </w:r>
      <w:r>
        <w:t>legislation.</w:t>
      </w:r>
    </w:p>
    <w:p w14:paraId="0A217CB1" w14:textId="4D6A0284" w:rsidR="007270E7" w:rsidRPr="007270E7" w:rsidRDefault="007270E7" w:rsidP="00E27E8C">
      <w:pPr>
        <w:pStyle w:val="ListParagraph"/>
        <w:widowControl w:val="0"/>
        <w:numPr>
          <w:ilvl w:val="0"/>
          <w:numId w:val="18"/>
        </w:numPr>
        <w:autoSpaceDE w:val="0"/>
        <w:autoSpaceDN w:val="0"/>
        <w:spacing w:before="120"/>
        <w:ind w:left="714" w:hanging="357"/>
        <w:contextualSpacing w:val="0"/>
        <w:rPr>
          <w:rFonts w:ascii="Symbol" w:hAnsi="Symbol"/>
        </w:rPr>
      </w:pPr>
      <w:r>
        <w:t xml:space="preserve">Confidentiality is therefore dependent on the legal and ethical risk of harm to self or others and public protection, and may need to be extended in certain cases in line with the </w:t>
      </w:r>
      <w:r w:rsidR="0040499C">
        <w:t>u</w:t>
      </w:r>
      <w:r>
        <w:t>niversity Privacy Standard as exemplified in the</w:t>
      </w:r>
      <w:r w:rsidRPr="007270E7">
        <w:rPr>
          <w:color w:val="000099"/>
        </w:rPr>
        <w:t xml:space="preserve"> </w:t>
      </w:r>
      <w:hyperlink r:id="rId20">
        <w:r w:rsidRPr="001D1C9E">
          <w:rPr>
            <w:rStyle w:val="Hyperlink"/>
          </w:rPr>
          <w:t>Safeguarding and Prevent</w:t>
        </w:r>
      </w:hyperlink>
      <w:hyperlink r:id="rId21">
        <w:r w:rsidRPr="001D1C9E">
          <w:rPr>
            <w:rStyle w:val="Hyperlink"/>
          </w:rPr>
          <w:t xml:space="preserve"> Duty Policy</w:t>
        </w:r>
      </w:hyperlink>
      <w:r>
        <w:t>.</w:t>
      </w:r>
    </w:p>
    <w:p w14:paraId="41B955BD" w14:textId="63258155" w:rsidR="007270E7" w:rsidRPr="007270E7" w:rsidRDefault="007270E7" w:rsidP="00E27E8C">
      <w:pPr>
        <w:pStyle w:val="ListParagraph"/>
        <w:widowControl w:val="0"/>
        <w:numPr>
          <w:ilvl w:val="0"/>
          <w:numId w:val="18"/>
        </w:numPr>
        <w:autoSpaceDE w:val="0"/>
        <w:autoSpaceDN w:val="0"/>
        <w:spacing w:before="120"/>
        <w:ind w:left="714" w:hanging="357"/>
        <w:contextualSpacing w:val="0"/>
        <w:rPr>
          <w:rFonts w:ascii="Symbol" w:hAnsi="Symbol"/>
        </w:rPr>
      </w:pPr>
      <w:r>
        <w:t xml:space="preserve">Students receiving </w:t>
      </w:r>
      <w:r w:rsidR="0040499C">
        <w:t>support from any of the Student Support and Wellbeing services</w:t>
      </w:r>
      <w:r>
        <w:t xml:space="preserve"> will be notified whenever possible of the need to extend confidentiality where this is necessary. If it is not possible to notify the student, for example due to the </w:t>
      </w:r>
      <w:r w:rsidR="0040499C">
        <w:t>a</w:t>
      </w:r>
      <w:r>
        <w:t xml:space="preserve">cute </w:t>
      </w:r>
      <w:r w:rsidR="0040499C">
        <w:t>r</w:t>
      </w:r>
      <w:r>
        <w:t xml:space="preserve">isk factors, the </w:t>
      </w:r>
      <w:r w:rsidR="0040499C">
        <w:t>a</w:t>
      </w:r>
      <w:r>
        <w:t xml:space="preserve">dviser will seek agreement from a </w:t>
      </w:r>
      <w:r w:rsidR="0040499C">
        <w:t>senior p</w:t>
      </w:r>
      <w:r>
        <w:t>rofessional member of staff or line manager whenever</w:t>
      </w:r>
      <w:r w:rsidRPr="007270E7">
        <w:rPr>
          <w:spacing w:val="-4"/>
        </w:rPr>
        <w:t xml:space="preserve"> </w:t>
      </w:r>
      <w:r>
        <w:t>feasible.</w:t>
      </w:r>
    </w:p>
    <w:p w14:paraId="7E1AF96A" w14:textId="119D319C" w:rsidR="007270E7" w:rsidRPr="007270E7" w:rsidRDefault="007270E7" w:rsidP="00E27E8C">
      <w:pPr>
        <w:pStyle w:val="ListParagraph"/>
        <w:widowControl w:val="0"/>
        <w:numPr>
          <w:ilvl w:val="0"/>
          <w:numId w:val="18"/>
        </w:numPr>
        <w:autoSpaceDE w:val="0"/>
        <w:autoSpaceDN w:val="0"/>
        <w:spacing w:before="120" w:line="237" w:lineRule="auto"/>
        <w:ind w:left="714" w:hanging="357"/>
        <w:contextualSpacing w:val="0"/>
        <w:rPr>
          <w:rFonts w:ascii="Symbol" w:hAnsi="Symbol"/>
        </w:rPr>
      </w:pPr>
      <w:r>
        <w:t xml:space="preserve">All personal data will be processed in accordance with current data protection legislation and in line with the </w:t>
      </w:r>
      <w:hyperlink r:id="rId22" w:history="1">
        <w:r w:rsidRPr="00A20C81">
          <w:rPr>
            <w:rStyle w:val="Hyperlink"/>
          </w:rPr>
          <w:t xml:space="preserve">Student Support and Wellbeing Privacy </w:t>
        </w:r>
        <w:r w:rsidR="00A20C81" w:rsidRPr="00A20C81">
          <w:rPr>
            <w:rStyle w:val="Hyperlink"/>
          </w:rPr>
          <w:t>Notice</w:t>
        </w:r>
      </w:hyperlink>
      <w:r>
        <w:t>.</w:t>
      </w:r>
    </w:p>
    <w:p w14:paraId="699AE51F" w14:textId="37DE5F89" w:rsidR="000E296F" w:rsidRDefault="000E296F" w:rsidP="00CA3AB7"/>
    <w:p w14:paraId="42C56C04" w14:textId="52D9E32D" w:rsidR="007270E7" w:rsidRDefault="007270E7" w:rsidP="00CA3AB7">
      <w:pPr>
        <w:pStyle w:val="Heading1"/>
        <w:spacing w:before="0"/>
      </w:pPr>
      <w:bookmarkStart w:id="9" w:name="_Toc125637403"/>
      <w:r>
        <w:t xml:space="preserve">Acute </w:t>
      </w:r>
      <w:r w:rsidR="004F28FB">
        <w:t>r</w:t>
      </w:r>
      <w:r>
        <w:t xml:space="preserve">isk </w:t>
      </w:r>
      <w:r w:rsidR="004F28FB">
        <w:t>f</w:t>
      </w:r>
      <w:r>
        <w:t>actors</w:t>
      </w:r>
      <w:bookmarkEnd w:id="9"/>
    </w:p>
    <w:p w14:paraId="2ACDB690" w14:textId="07C32762" w:rsidR="007270E7" w:rsidRDefault="007270E7" w:rsidP="00CA3AB7">
      <w:r>
        <w:t xml:space="preserve">Individuals may be more likely to contemplate suicide, self-destructive acts, harming self or others, at certain points in their lives or if certain conditions exist. The following factors should be considered when assessing </w:t>
      </w:r>
      <w:r w:rsidR="0040499C">
        <w:t xml:space="preserve">acute risk </w:t>
      </w:r>
      <w:r>
        <w:t>to self or others and should be discussed with the student:</w:t>
      </w:r>
    </w:p>
    <w:bookmarkEnd w:id="3"/>
    <w:bookmarkEnd w:id="4"/>
    <w:p w14:paraId="24EDACDB" w14:textId="77777777" w:rsidR="007270E7" w:rsidRDefault="007270E7" w:rsidP="00CA3AB7">
      <w:pPr>
        <w:pStyle w:val="ListParagraph"/>
        <w:numPr>
          <w:ilvl w:val="0"/>
          <w:numId w:val="19"/>
        </w:numPr>
        <w:spacing w:before="120"/>
        <w:contextualSpacing w:val="0"/>
      </w:pPr>
      <w:r w:rsidRPr="00CA3AB7">
        <w:rPr>
          <w:b/>
        </w:rPr>
        <w:t>Acute Risk</w:t>
      </w:r>
      <w:r>
        <w:t xml:space="preserve"> refers to the level of current risk (of suicide, self-destructive acts, harming self or others) with progression along a continuum based on escalating intent and risk. The level of risk also accounts for the extent of the individual’s risk, protective factors, and any known history regarding the student’s behaviour towards themselves or others and their potential and/or capacity/intent to harm themselves or others.</w:t>
      </w:r>
    </w:p>
    <w:p w14:paraId="0BCD0FD1" w14:textId="77777777" w:rsidR="007270E7" w:rsidRDefault="007270E7" w:rsidP="00CA3AB7">
      <w:pPr>
        <w:pStyle w:val="ListParagraph"/>
        <w:numPr>
          <w:ilvl w:val="0"/>
          <w:numId w:val="19"/>
        </w:numPr>
        <w:spacing w:before="120"/>
        <w:contextualSpacing w:val="0"/>
      </w:pPr>
      <w:r w:rsidRPr="00CA3AB7">
        <w:rPr>
          <w:b/>
        </w:rPr>
        <w:t>Chronic Risk</w:t>
      </w:r>
      <w:r>
        <w:t xml:space="preserve"> refers to the ongoing likelihood of a person making a future attempt and is based on historical information e.g. previous suicide/self-destructive attempts, history of depression, extent of background and current risk factors and presence of protective factors. </w:t>
      </w:r>
      <w:r>
        <w:lastRenderedPageBreak/>
        <w:t>People who have a chronic risk can experience acute crises which would impact others as well as themselves.</w:t>
      </w:r>
    </w:p>
    <w:p w14:paraId="54E4867D" w14:textId="70408AEB" w:rsidR="007270E7" w:rsidRDefault="007270E7" w:rsidP="0040499C">
      <w:pPr>
        <w:pStyle w:val="ListParagraph"/>
        <w:keepLines/>
        <w:numPr>
          <w:ilvl w:val="0"/>
          <w:numId w:val="19"/>
        </w:numPr>
        <w:spacing w:before="120"/>
        <w:ind w:left="714" w:hanging="357"/>
        <w:contextualSpacing w:val="0"/>
      </w:pPr>
      <w:r w:rsidRPr="00CA3AB7">
        <w:rPr>
          <w:b/>
        </w:rPr>
        <w:t>Intent or motivation</w:t>
      </w:r>
      <w:r>
        <w:t xml:space="preserve"> reflects whether the student has a reason to live or a reason why they may choose to carry out an act of harm to self or others. The greater the motivation to die or to harm self or others, the greater the risk. The student should be asked about their intent by the </w:t>
      </w:r>
      <w:r w:rsidR="0040499C">
        <w:t>adviser</w:t>
      </w:r>
      <w:r>
        <w:t>.</w:t>
      </w:r>
    </w:p>
    <w:p w14:paraId="5E0840C6" w14:textId="77777777" w:rsidR="007270E7" w:rsidRDefault="007270E7" w:rsidP="00CA3AB7">
      <w:pPr>
        <w:pStyle w:val="ListParagraph"/>
        <w:numPr>
          <w:ilvl w:val="0"/>
          <w:numId w:val="19"/>
        </w:numPr>
        <w:spacing w:before="120"/>
        <w:contextualSpacing w:val="0"/>
      </w:pPr>
      <w:r w:rsidRPr="00CA3AB7">
        <w:rPr>
          <w:b/>
        </w:rPr>
        <w:t>Plan</w:t>
      </w:r>
      <w:r>
        <w:t xml:space="preserve"> is how/when/where the student will carry out his/her suicide or plan to harm self or others. A more detailed and specific plan indicates a greater risk and they should be asked for details on when/how/if they plan to act on their thoughts to harm themselves or others.</w:t>
      </w:r>
    </w:p>
    <w:p w14:paraId="7DA9E430" w14:textId="77777777" w:rsidR="007270E7" w:rsidRDefault="007270E7" w:rsidP="00CA3AB7">
      <w:pPr>
        <w:pStyle w:val="ListParagraph"/>
        <w:numPr>
          <w:ilvl w:val="0"/>
          <w:numId w:val="19"/>
        </w:numPr>
        <w:spacing w:before="120"/>
        <w:contextualSpacing w:val="0"/>
      </w:pPr>
      <w:r w:rsidRPr="00CA3AB7">
        <w:rPr>
          <w:b/>
        </w:rPr>
        <w:t>Means</w:t>
      </w:r>
      <w:r>
        <w:t xml:space="preserve"> is what the student intends to use to commit suicide or harm self/others. The more lethal the means, the more serious the risk (e.g. a gun could be deemed a more immediate threat to self and others rather than pills). Moreover, the more available the method, the more serious the risk (e.g. loaded gun).</w:t>
      </w:r>
    </w:p>
    <w:p w14:paraId="79A3F3BB" w14:textId="77777777" w:rsidR="007270E7" w:rsidRDefault="007270E7" w:rsidP="00CA3AB7">
      <w:pPr>
        <w:pStyle w:val="ListParagraph"/>
        <w:numPr>
          <w:ilvl w:val="0"/>
          <w:numId w:val="19"/>
        </w:numPr>
        <w:spacing w:before="120"/>
        <w:contextualSpacing w:val="0"/>
      </w:pPr>
      <w:r w:rsidRPr="00CA3AB7">
        <w:rPr>
          <w:b/>
        </w:rPr>
        <w:t>History</w:t>
      </w:r>
      <w:r>
        <w:t>: An individual who has attempted suicide in the past, or who has seriously harmed themselves/others may be at higher risk of achieving their goal than someone who has no history of suicide/harm to self or others. A student who has been known to be aggressive towards others may also become quickly agitated or aggressive with others in stressful circumstances. The risk may also be increased by alcohol or drugs.</w:t>
      </w:r>
    </w:p>
    <w:p w14:paraId="21CA3529" w14:textId="6A5BA97D" w:rsidR="007270E7" w:rsidRDefault="007270E7" w:rsidP="00CA3AB7">
      <w:pPr>
        <w:pStyle w:val="ListParagraph"/>
        <w:numPr>
          <w:ilvl w:val="0"/>
          <w:numId w:val="19"/>
        </w:numPr>
        <w:spacing w:before="120"/>
        <w:contextualSpacing w:val="0"/>
      </w:pPr>
      <w:r w:rsidRPr="00CA3AB7">
        <w:rPr>
          <w:b/>
        </w:rPr>
        <w:t>Demographics (suicide):</w:t>
      </w:r>
      <w:r>
        <w:t xml:space="preserve"> In the UK, suicide rates among young people have been increasing in recent years. </w:t>
      </w:r>
      <w:r w:rsidR="004F28FB">
        <w:t>In 2021</w:t>
      </w:r>
      <w:r w:rsidR="0041463F">
        <w:t xml:space="preserve"> t</w:t>
      </w:r>
      <w:r>
        <w:t xml:space="preserve">he suicide rate for young females </w:t>
      </w:r>
      <w:r w:rsidR="0041463F">
        <w:t>reached</w:t>
      </w:r>
      <w:r>
        <w:t xml:space="preserve"> its highest rate </w:t>
      </w:r>
      <w:r w:rsidR="000631B4">
        <w:t xml:space="preserve">in </w:t>
      </w:r>
      <w:r w:rsidR="00345589">
        <w:t>3 years</w:t>
      </w:r>
      <w:r>
        <w:t>.</w:t>
      </w:r>
      <w:r w:rsidR="004F28FB">
        <w:t xml:space="preserve"> </w:t>
      </w:r>
      <w:r>
        <w:t xml:space="preserve"> In the UK men are three times as likely to die from suicide than women, the highest rate being men in the </w:t>
      </w:r>
      <w:r w:rsidR="0041463F">
        <w:t>50</w:t>
      </w:r>
      <w:r>
        <w:t xml:space="preserve"> to </w:t>
      </w:r>
      <w:r w:rsidR="0041463F">
        <w:t>54</w:t>
      </w:r>
      <w:r>
        <w:t xml:space="preserve"> age range</w:t>
      </w:r>
      <w:r w:rsidR="00CA3AB7">
        <w:rPr>
          <w:rStyle w:val="FootnoteReference"/>
        </w:rPr>
        <w:footnoteReference w:id="3"/>
      </w:r>
      <w:r>
        <w:t>. Men tend to seek help only when problems have reached serious proportions.</w:t>
      </w:r>
    </w:p>
    <w:p w14:paraId="656632D8" w14:textId="77777777" w:rsidR="007270E7" w:rsidRDefault="007270E7" w:rsidP="00CA3AB7">
      <w:pPr>
        <w:pStyle w:val="ListParagraph"/>
        <w:numPr>
          <w:ilvl w:val="0"/>
          <w:numId w:val="19"/>
        </w:numPr>
        <w:spacing w:before="120"/>
        <w:contextualSpacing w:val="0"/>
      </w:pPr>
      <w:r w:rsidRPr="00CA3AB7">
        <w:rPr>
          <w:b/>
        </w:rPr>
        <w:t>Stress</w:t>
      </w:r>
      <w:r>
        <w:t>: Someone with a lot of stress in their life is at greater risk of suicide/harm to self or others.</w:t>
      </w:r>
    </w:p>
    <w:p w14:paraId="6903E9ED" w14:textId="6EA61359" w:rsidR="007270E7" w:rsidRDefault="007270E7" w:rsidP="00CA3AB7">
      <w:pPr>
        <w:pStyle w:val="ListParagraph"/>
        <w:numPr>
          <w:ilvl w:val="0"/>
          <w:numId w:val="19"/>
        </w:numPr>
        <w:spacing w:before="120"/>
        <w:contextualSpacing w:val="0"/>
      </w:pPr>
      <w:r w:rsidRPr="00CA3AB7">
        <w:rPr>
          <w:b/>
        </w:rPr>
        <w:t>Resources</w:t>
      </w:r>
      <w:r>
        <w:t>: A person with fewer resources and support networks is at greater risk than a person with considerable resources. The more socially isolated the individual, the greater the risk.</w:t>
      </w:r>
    </w:p>
    <w:p w14:paraId="74C47974" w14:textId="77777777" w:rsidR="00CA3AB7" w:rsidRDefault="00CA3AB7" w:rsidP="00CA3AB7">
      <w:pPr>
        <w:pStyle w:val="Heading1"/>
      </w:pPr>
      <w:bookmarkStart w:id="10" w:name="_Toc125637404"/>
      <w:r>
        <w:t>Procedures</w:t>
      </w:r>
      <w:bookmarkEnd w:id="10"/>
    </w:p>
    <w:p w14:paraId="307443A3" w14:textId="0BF9A780" w:rsidR="00CA3AB7" w:rsidRDefault="00CA3AB7" w:rsidP="00CA3AB7">
      <w:pPr>
        <w:pStyle w:val="BodyText"/>
        <w:spacing w:before="120"/>
        <w:ind w:right="366"/>
      </w:pPr>
      <w:r>
        <w:t xml:space="preserve">In the first instance when a member of staff is aware that a student is showing signs </w:t>
      </w:r>
      <w:r w:rsidR="004F28FB">
        <w:t>of acute risk of h</w:t>
      </w:r>
      <w:r>
        <w:t>arm to themselves or to others:</w:t>
      </w:r>
    </w:p>
    <w:p w14:paraId="77539EA6" w14:textId="77777777" w:rsidR="00CA3AB7" w:rsidRPr="004F28FB" w:rsidRDefault="00CA3AB7" w:rsidP="00CA3AB7">
      <w:pPr>
        <w:pStyle w:val="BodyText"/>
        <w:spacing w:before="121"/>
        <w:rPr>
          <w:b/>
        </w:rPr>
      </w:pPr>
      <w:r w:rsidRPr="004F28FB">
        <w:rPr>
          <w:b/>
        </w:rPr>
        <w:t>Risk to you or others:</w:t>
      </w:r>
    </w:p>
    <w:p w14:paraId="5A8388DC" w14:textId="77777777" w:rsidR="00CA3AB7" w:rsidRDefault="00CA3AB7" w:rsidP="004F28FB">
      <w:pPr>
        <w:pStyle w:val="ListParagraph"/>
        <w:numPr>
          <w:ilvl w:val="0"/>
          <w:numId w:val="21"/>
        </w:numPr>
        <w:spacing w:before="120"/>
        <w:contextualSpacing w:val="0"/>
      </w:pPr>
      <w:r>
        <w:t xml:space="preserve">It the student is showing signs of intent to harm you or others, or becomes aggressive and their behaviour is unacceptable then put your safety first. If an emergency alarm is fitted please activate this, leave the room (if safe to do so) and call for help on the University 24/7 emergency phone number (01243 81) </w:t>
      </w:r>
      <w:r w:rsidRPr="00CA3AB7">
        <w:rPr>
          <w:b/>
        </w:rPr>
        <w:t>6363</w:t>
      </w:r>
      <w:r>
        <w:t>, or ask the student to leave, and/or seek support from other</w:t>
      </w:r>
      <w:r w:rsidRPr="00CA3AB7">
        <w:rPr>
          <w:spacing w:val="-2"/>
        </w:rPr>
        <w:t xml:space="preserve"> </w:t>
      </w:r>
      <w:r>
        <w:t>staff.</w:t>
      </w:r>
    </w:p>
    <w:p w14:paraId="032647A0" w14:textId="72A25D74" w:rsidR="00CA3AB7" w:rsidRDefault="00CA3AB7" w:rsidP="004F28FB">
      <w:pPr>
        <w:pStyle w:val="ListParagraph"/>
        <w:numPr>
          <w:ilvl w:val="0"/>
          <w:numId w:val="21"/>
        </w:numPr>
        <w:spacing w:before="120"/>
        <w:contextualSpacing w:val="0"/>
      </w:pPr>
      <w:r>
        <w:t>If you are seeing a student who is known to be aggressive or has shown unacceptable behaviour towards others, then please see the student with another member of staff</w:t>
      </w:r>
      <w:r w:rsidR="004F28FB">
        <w:t xml:space="preserve"> or</w:t>
      </w:r>
      <w:r>
        <w:t xml:space="preserve"> alert </w:t>
      </w:r>
      <w:r w:rsidR="004F28FB">
        <w:t xml:space="preserve">nearby </w:t>
      </w:r>
      <w:r>
        <w:t>staff that you may need</w:t>
      </w:r>
      <w:r w:rsidRPr="00CA3AB7">
        <w:rPr>
          <w:spacing w:val="-10"/>
        </w:rPr>
        <w:t xml:space="preserve"> </w:t>
      </w:r>
      <w:r>
        <w:t>support.</w:t>
      </w:r>
    </w:p>
    <w:p w14:paraId="3E2A3873" w14:textId="38F7732A" w:rsidR="00CA3AB7" w:rsidRDefault="00CA3AB7" w:rsidP="004F28FB">
      <w:pPr>
        <w:pStyle w:val="ListParagraph"/>
        <w:numPr>
          <w:ilvl w:val="0"/>
          <w:numId w:val="21"/>
        </w:numPr>
        <w:spacing w:before="120"/>
        <w:contextualSpacing w:val="0"/>
      </w:pPr>
      <w:r>
        <w:lastRenderedPageBreak/>
        <w:t>If you are uncomfortable about a student’s behaviour and would prefer not to meet with them, then please give advance notice to your line manager, so other arrangements can be made to support the</w:t>
      </w:r>
      <w:r w:rsidRPr="00CA3AB7">
        <w:rPr>
          <w:spacing w:val="-12"/>
        </w:rPr>
        <w:t xml:space="preserve"> </w:t>
      </w:r>
      <w:r>
        <w:t>student.</w:t>
      </w:r>
    </w:p>
    <w:p w14:paraId="0C2CBBAF" w14:textId="2B28D250" w:rsidR="00CA3AB7" w:rsidRPr="004F28FB" w:rsidRDefault="00CA3AB7" w:rsidP="004F28FB">
      <w:pPr>
        <w:pStyle w:val="BodyText"/>
        <w:spacing w:before="120" w:after="0"/>
        <w:rPr>
          <w:b/>
        </w:rPr>
      </w:pPr>
      <w:r w:rsidRPr="004F28FB">
        <w:rPr>
          <w:b/>
        </w:rPr>
        <w:t>Risk to themselves:</w:t>
      </w:r>
    </w:p>
    <w:p w14:paraId="2FD47921" w14:textId="23F30D81" w:rsidR="00CA3AB7" w:rsidRDefault="00CA3AB7" w:rsidP="004F28FB">
      <w:pPr>
        <w:pStyle w:val="ListParagraph"/>
        <w:numPr>
          <w:ilvl w:val="0"/>
          <w:numId w:val="22"/>
        </w:numPr>
        <w:spacing w:before="120"/>
        <w:contextualSpacing w:val="0"/>
      </w:pPr>
      <w:r>
        <w:t xml:space="preserve">This should be explored with the student to establish their: intent, plan and means (as stated in </w:t>
      </w:r>
      <w:r w:rsidR="004F28FB">
        <w:t xml:space="preserve">the acute risk factors </w:t>
      </w:r>
      <w:r>
        <w:t>section above) as</w:t>
      </w:r>
      <w:r w:rsidRPr="00CA3AB7">
        <w:rPr>
          <w:spacing w:val="-1"/>
        </w:rPr>
        <w:t xml:space="preserve"> </w:t>
      </w:r>
      <w:r>
        <w:t>appropriate.</w:t>
      </w:r>
    </w:p>
    <w:p w14:paraId="0537ACE6" w14:textId="77777777" w:rsidR="00CA3AB7" w:rsidRDefault="00CA3AB7" w:rsidP="004F28FB">
      <w:pPr>
        <w:pStyle w:val="ListParagraph"/>
        <w:numPr>
          <w:ilvl w:val="0"/>
          <w:numId w:val="22"/>
        </w:numPr>
        <w:spacing w:before="120"/>
        <w:contextualSpacing w:val="0"/>
      </w:pPr>
      <w:r>
        <w:t>Communicate clearly to the student that you do not want them to take their life / harm themselves or others, and that you will stay with them in person (or on the phone) whilst you seek assistance for</w:t>
      </w:r>
      <w:r w:rsidRPr="00CA3AB7">
        <w:rPr>
          <w:spacing w:val="-1"/>
        </w:rPr>
        <w:t xml:space="preserve"> </w:t>
      </w:r>
      <w:r>
        <w:t>them.</w:t>
      </w:r>
    </w:p>
    <w:p w14:paraId="43F0B917" w14:textId="27846A6B" w:rsidR="00CA3AB7" w:rsidRDefault="00CA3AB7" w:rsidP="004F28FB">
      <w:pPr>
        <w:pStyle w:val="ListParagraph"/>
        <w:numPr>
          <w:ilvl w:val="0"/>
          <w:numId w:val="22"/>
        </w:numPr>
        <w:spacing w:before="120"/>
        <w:contextualSpacing w:val="0"/>
      </w:pPr>
      <w:r>
        <w:t>If at the Chichester campus, explore with the student if they feel safe enough to walk with you</w:t>
      </w:r>
      <w:r w:rsidR="004F28FB">
        <w:t xml:space="preserve"> </w:t>
      </w:r>
      <w:r>
        <w:t>or a friend or another member of staff across campus to A&amp;E at St Richard’s Hospital. If so</w:t>
      </w:r>
      <w:r w:rsidR="00D9142B">
        <w:t>,</w:t>
      </w:r>
      <w:r>
        <w:t xml:space="preserve"> call </w:t>
      </w:r>
      <w:r w:rsidR="00D9142B">
        <w:t xml:space="preserve">the </w:t>
      </w:r>
      <w:r>
        <w:t>University emergency number and ask them to let an appropriate manager know you or someone else is escorting a student to A&amp;E so support staff can be</w:t>
      </w:r>
      <w:r w:rsidRPr="00CA3AB7">
        <w:rPr>
          <w:spacing w:val="-10"/>
        </w:rPr>
        <w:t xml:space="preserve"> </w:t>
      </w:r>
      <w:r>
        <w:t>alerted.</w:t>
      </w:r>
    </w:p>
    <w:p w14:paraId="04F9706A" w14:textId="77777777" w:rsidR="00CA3AB7" w:rsidRDefault="00CA3AB7" w:rsidP="004F28FB">
      <w:pPr>
        <w:pStyle w:val="ListParagraph"/>
        <w:numPr>
          <w:ilvl w:val="0"/>
          <w:numId w:val="22"/>
        </w:numPr>
        <w:spacing w:before="120"/>
        <w:contextualSpacing w:val="0"/>
      </w:pPr>
      <w:r>
        <w:t>In all other circumstances you should call the University emergency line immediately whilst keeping the student with you or on the</w:t>
      </w:r>
      <w:r w:rsidRPr="00CA3AB7">
        <w:rPr>
          <w:spacing w:val="-5"/>
        </w:rPr>
        <w:t xml:space="preserve"> </w:t>
      </w:r>
      <w:r>
        <w:t>phone:</w:t>
      </w:r>
    </w:p>
    <w:p w14:paraId="79A59481" w14:textId="77777777" w:rsidR="00CA3AB7" w:rsidRPr="00CA3AB7" w:rsidRDefault="00CA3AB7" w:rsidP="004F28FB">
      <w:pPr>
        <w:pStyle w:val="ListParagraph"/>
        <w:numPr>
          <w:ilvl w:val="0"/>
          <w:numId w:val="23"/>
        </w:numPr>
        <w:spacing w:before="120"/>
        <w:ind w:left="1440"/>
        <w:contextualSpacing w:val="0"/>
        <w:rPr>
          <w:b/>
        </w:rPr>
      </w:pPr>
      <w:r w:rsidRPr="00CA3AB7">
        <w:rPr>
          <w:b/>
        </w:rPr>
        <w:t>Dial 6363 on any campus phone line (or 01243 816363 from a mobile). Until 10pm you will speak to a member of the SIZ Team, and after 10pm you will reach Site</w:t>
      </w:r>
      <w:r w:rsidRPr="00CA3AB7">
        <w:rPr>
          <w:b/>
          <w:spacing w:val="-7"/>
        </w:rPr>
        <w:t xml:space="preserve"> </w:t>
      </w:r>
      <w:r w:rsidRPr="00CA3AB7">
        <w:rPr>
          <w:b/>
        </w:rPr>
        <w:t>Security.</w:t>
      </w:r>
    </w:p>
    <w:p w14:paraId="603F17B7" w14:textId="5EC8263E" w:rsidR="00CA3AB7" w:rsidRPr="00CA3AB7" w:rsidRDefault="00CA3AB7" w:rsidP="004F28FB">
      <w:pPr>
        <w:pStyle w:val="ListParagraph"/>
        <w:numPr>
          <w:ilvl w:val="0"/>
          <w:numId w:val="23"/>
        </w:numPr>
        <w:spacing w:before="120"/>
        <w:ind w:left="1440"/>
        <w:contextualSpacing w:val="0"/>
        <w:rPr>
          <w:b/>
        </w:rPr>
      </w:pPr>
      <w:r w:rsidRPr="00CA3AB7">
        <w:rPr>
          <w:b/>
        </w:rPr>
        <w:t>If you cannot get through on 6363, then call 999 immediately and report the risk, and then call 6363 to alert</w:t>
      </w:r>
      <w:r w:rsidRPr="00CA3AB7">
        <w:rPr>
          <w:b/>
          <w:spacing w:val="-9"/>
        </w:rPr>
        <w:t xml:space="preserve"> </w:t>
      </w:r>
      <w:r w:rsidRPr="00CA3AB7">
        <w:rPr>
          <w:b/>
        </w:rPr>
        <w:t>them.</w:t>
      </w:r>
    </w:p>
    <w:p w14:paraId="6F7DB53F" w14:textId="59316CAC" w:rsidR="00CA3AB7" w:rsidRDefault="00CA3AB7" w:rsidP="004F28FB">
      <w:pPr>
        <w:pStyle w:val="ListParagraph"/>
        <w:numPr>
          <w:ilvl w:val="0"/>
          <w:numId w:val="23"/>
        </w:numPr>
        <w:spacing w:before="120"/>
        <w:ind w:left="1440"/>
        <w:contextualSpacing w:val="0"/>
      </w:pPr>
      <w:r>
        <w:t xml:space="preserve">Inform them that you require an ambulance immediately as a </w:t>
      </w:r>
      <w:r w:rsidR="00B41408">
        <w:t>student is at acute risk and ask them to call the emergency serv</w:t>
      </w:r>
      <w:r>
        <w:t>ices for you. Pass on any health information about the student, if necessary, (e.g. they have swallowed 50</w:t>
      </w:r>
      <w:r w:rsidRPr="00CA3AB7">
        <w:rPr>
          <w:spacing w:val="-1"/>
        </w:rPr>
        <w:t xml:space="preserve"> </w:t>
      </w:r>
      <w:r>
        <w:t>paracetamol).</w:t>
      </w:r>
    </w:p>
    <w:p w14:paraId="449F360F" w14:textId="5039A1FB" w:rsidR="00CA3AB7" w:rsidRDefault="00CA3AB7" w:rsidP="004F28FB">
      <w:pPr>
        <w:pStyle w:val="ListParagraph"/>
        <w:numPr>
          <w:ilvl w:val="0"/>
          <w:numId w:val="23"/>
        </w:numPr>
        <w:spacing w:before="120"/>
        <w:ind w:left="1440"/>
        <w:contextualSpacing w:val="0"/>
      </w:pPr>
      <w:r>
        <w:t xml:space="preserve">Tell them your location with the student, and ask them to arrange for </w:t>
      </w:r>
      <w:r w:rsidR="00B41408">
        <w:t>e</w:t>
      </w:r>
      <w:r>
        <w:t>mergency services to access campus and meet you at your</w:t>
      </w:r>
      <w:r w:rsidRPr="00CA3AB7">
        <w:rPr>
          <w:spacing w:val="-21"/>
        </w:rPr>
        <w:t xml:space="preserve"> </w:t>
      </w:r>
      <w:r>
        <w:t>location.</w:t>
      </w:r>
    </w:p>
    <w:p w14:paraId="2AE9C72D" w14:textId="257395F6" w:rsidR="00CA3AB7" w:rsidRDefault="00CA3AB7" w:rsidP="004F28FB">
      <w:pPr>
        <w:pStyle w:val="ListParagraph"/>
        <w:numPr>
          <w:ilvl w:val="0"/>
          <w:numId w:val="23"/>
        </w:numPr>
        <w:spacing w:before="120"/>
        <w:ind w:left="1440"/>
        <w:contextualSpacing w:val="0"/>
      </w:pPr>
      <w:r>
        <w:t xml:space="preserve">Ask them to pass on this information to campus security immediately, and to send a member of staff to support you and the student, whilst you wait for </w:t>
      </w:r>
      <w:r w:rsidR="00B41408">
        <w:t>e</w:t>
      </w:r>
      <w:r>
        <w:t>mergency services to</w:t>
      </w:r>
      <w:r w:rsidRPr="00CA3AB7">
        <w:rPr>
          <w:spacing w:val="-3"/>
        </w:rPr>
        <w:t xml:space="preserve"> </w:t>
      </w:r>
      <w:r>
        <w:t>arrive.</w:t>
      </w:r>
    </w:p>
    <w:p w14:paraId="58190135" w14:textId="658AC823" w:rsidR="00CA3AB7" w:rsidRDefault="00CA3AB7" w:rsidP="004F28FB">
      <w:pPr>
        <w:pStyle w:val="BodyText"/>
        <w:numPr>
          <w:ilvl w:val="0"/>
          <w:numId w:val="23"/>
        </w:numPr>
        <w:spacing w:before="120" w:after="0"/>
        <w:ind w:left="1440"/>
      </w:pPr>
      <w:r>
        <w:t>Ask them to repeat back to you your message so you can check the details are correct</w:t>
      </w:r>
    </w:p>
    <w:p w14:paraId="287F277F" w14:textId="3504BCC9" w:rsidR="00CA3AB7" w:rsidRDefault="00CA3AB7" w:rsidP="004F28FB">
      <w:pPr>
        <w:pStyle w:val="ListParagraph"/>
        <w:numPr>
          <w:ilvl w:val="0"/>
          <w:numId w:val="22"/>
        </w:numPr>
        <w:spacing w:before="120"/>
        <w:contextualSpacing w:val="0"/>
      </w:pPr>
      <w:r>
        <w:t xml:space="preserve">Whilst on campus, or if escorting the student to emergency services, please do not leave the student alone. Keep the student continuously engaged in conversation. They must be escorted to the </w:t>
      </w:r>
      <w:r w:rsidR="00345589">
        <w:t>toilet</w:t>
      </w:r>
      <w:r>
        <w:t>, if they wish to</w:t>
      </w:r>
      <w:r w:rsidRPr="00CA3AB7">
        <w:t xml:space="preserve"> </w:t>
      </w:r>
      <w:r>
        <w:t>go.</w:t>
      </w:r>
    </w:p>
    <w:p w14:paraId="311AF41A" w14:textId="77777777" w:rsidR="00CA3AB7" w:rsidRDefault="00CA3AB7" w:rsidP="004F28FB">
      <w:pPr>
        <w:pStyle w:val="ListParagraph"/>
        <w:numPr>
          <w:ilvl w:val="0"/>
          <w:numId w:val="22"/>
        </w:numPr>
        <w:spacing w:before="120"/>
        <w:contextualSpacing w:val="0"/>
      </w:pPr>
      <w:r>
        <w:t>Ask them to help you keep them ‘safe for now’ by giving you any means they may have on their person to harm themselves or others. (As far as reasonable and where this is safe for you, such as handing over pills). Anything taken in this way should be bagged by campus security and made secure. It may be necessary to return any such item to the student at a later</w:t>
      </w:r>
      <w:r w:rsidRPr="00CA3AB7">
        <w:t xml:space="preserve"> </w:t>
      </w:r>
      <w:r>
        <w:t>date.</w:t>
      </w:r>
    </w:p>
    <w:p w14:paraId="72134F6D" w14:textId="42437B21" w:rsidR="00CA3AB7" w:rsidRDefault="00CA3AB7" w:rsidP="004F28FB">
      <w:pPr>
        <w:pStyle w:val="ListParagraph"/>
        <w:numPr>
          <w:ilvl w:val="0"/>
          <w:numId w:val="22"/>
        </w:numPr>
        <w:spacing w:before="120"/>
        <w:contextualSpacing w:val="0"/>
      </w:pPr>
      <w:r>
        <w:t xml:space="preserve">Wait </w:t>
      </w:r>
      <w:r w:rsidR="00B41408">
        <w:t xml:space="preserve">for emergency services </w:t>
      </w:r>
      <w:r>
        <w:t>to arrive and, if you have appropriate training, try and help the student identify the problem and reframe it. Do not offer unrealistic outcomes, or</w:t>
      </w:r>
      <w:r w:rsidRPr="00CA3AB7">
        <w:t xml:space="preserve"> </w:t>
      </w:r>
      <w:r>
        <w:t>promises.</w:t>
      </w:r>
    </w:p>
    <w:p w14:paraId="69DAFB76" w14:textId="77777777" w:rsidR="00CA3AB7" w:rsidRDefault="00CA3AB7" w:rsidP="004F28FB">
      <w:pPr>
        <w:pStyle w:val="ListParagraph"/>
        <w:numPr>
          <w:ilvl w:val="0"/>
          <w:numId w:val="22"/>
        </w:numPr>
        <w:spacing w:before="120"/>
        <w:contextualSpacing w:val="0"/>
      </w:pPr>
      <w:r>
        <w:t>Wherever possible a member of site staff will accompany the student to hospital, or the student may ask a friend or family member. Staff who accompany a student to hospital should feel able to leave the student once they have been registered at reception, or triaged, according to their training and/or professional</w:t>
      </w:r>
      <w:r w:rsidRPr="00CA3AB7">
        <w:t xml:space="preserve"> </w:t>
      </w:r>
      <w:r>
        <w:t>judgement.</w:t>
      </w:r>
    </w:p>
    <w:p w14:paraId="10EDC93E" w14:textId="77777777" w:rsidR="00CA3AB7" w:rsidRDefault="00CA3AB7" w:rsidP="004F28FB">
      <w:pPr>
        <w:pStyle w:val="ListParagraph"/>
        <w:numPr>
          <w:ilvl w:val="0"/>
          <w:numId w:val="22"/>
        </w:numPr>
        <w:spacing w:before="120"/>
        <w:contextualSpacing w:val="0"/>
      </w:pPr>
      <w:r>
        <w:lastRenderedPageBreak/>
        <w:t>Immediately consult your supervisor or the first available manager, and seek support for</w:t>
      </w:r>
      <w:r w:rsidRPr="00CA3AB7">
        <w:t xml:space="preserve"> </w:t>
      </w:r>
      <w:r>
        <w:t>yourself.</w:t>
      </w:r>
    </w:p>
    <w:p w14:paraId="0D4E0E2B" w14:textId="073C50C4" w:rsidR="00CA3AB7" w:rsidRDefault="00CA3AB7" w:rsidP="004F28FB">
      <w:pPr>
        <w:pStyle w:val="ListParagraph"/>
        <w:numPr>
          <w:ilvl w:val="0"/>
          <w:numId w:val="22"/>
        </w:numPr>
        <w:spacing w:before="120"/>
        <w:contextualSpacing w:val="0"/>
      </w:pPr>
      <w:r>
        <w:t xml:space="preserve">Document all actions and responses according to your established processes, for example Wellbeing Advisers and </w:t>
      </w:r>
      <w:r w:rsidR="00B41408">
        <w:t>Nurse Health Advisers</w:t>
      </w:r>
      <w:r>
        <w:t xml:space="preserve"> record notes in the Student Services database. Make sure your line manager and all appropriate University services (such as Wellbeing Services) are notified</w:t>
      </w:r>
      <w:r w:rsidR="00345589">
        <w:t xml:space="preserve"> (the wellbeing referral form can be used for this: </w:t>
      </w:r>
      <w:hyperlink r:id="rId23" w:history="1">
        <w:r w:rsidR="00F240BB" w:rsidRPr="00F240BB">
          <w:rPr>
            <w:rStyle w:val="Hyperlink"/>
          </w:rPr>
          <w:t>Wellbeing Referral by Staff Form</w:t>
        </w:r>
      </w:hyperlink>
      <w:r w:rsidR="00F240BB">
        <w:rPr>
          <w:rStyle w:val="Strong"/>
          <w:rFonts w:asciiTheme="minorHAnsi" w:hAnsiTheme="minorHAnsi" w:cstheme="minorHAnsi"/>
          <w:b w:val="0"/>
          <w:bCs w:val="0"/>
          <w:color w:val="555555"/>
        </w:rPr>
        <w:t>)</w:t>
      </w:r>
      <w:r>
        <w:t xml:space="preserve">. An appropriate summary report of the incident will be passed to the STAR </w:t>
      </w:r>
      <w:r w:rsidR="00B41408">
        <w:t>(S</w:t>
      </w:r>
      <w:r w:rsidR="00345589">
        <w:t>t</w:t>
      </w:r>
      <w:r w:rsidR="00B41408">
        <w:t xml:space="preserve">udents </w:t>
      </w:r>
      <w:r w:rsidR="00345589">
        <w:t>a</w:t>
      </w:r>
      <w:r w:rsidR="00B41408">
        <w:t xml:space="preserve">t </w:t>
      </w:r>
      <w:r w:rsidR="00345589">
        <w:t>r</w:t>
      </w:r>
      <w:r w:rsidR="00B41408">
        <w:t xml:space="preserve">isk) </w:t>
      </w:r>
      <w:r>
        <w:t>meeting by your</w:t>
      </w:r>
      <w:r w:rsidRPr="00CA3AB7">
        <w:t xml:space="preserve"> </w:t>
      </w:r>
      <w:r>
        <w:t>manager.</w:t>
      </w:r>
    </w:p>
    <w:p w14:paraId="0809F458" w14:textId="56741FDB" w:rsidR="00CA3AB7" w:rsidRDefault="00CA3AB7" w:rsidP="00CA3AB7"/>
    <w:p w14:paraId="12018F99" w14:textId="7D694100" w:rsidR="00CA3AB7" w:rsidRDefault="00CA3AB7" w:rsidP="00CA3AB7">
      <w:r>
        <w:t>The case will be reviewed by members of STAR</w:t>
      </w:r>
      <w:r w:rsidR="00B41408">
        <w:t xml:space="preserve"> </w:t>
      </w:r>
      <w:r>
        <w:t>and other University staff (for example the Wellbeing Allocation Meeting (WAM)), to ensure that appropriate support is put in place for the student.</w:t>
      </w:r>
    </w:p>
    <w:p w14:paraId="4569D747" w14:textId="77777777" w:rsidR="00B41408" w:rsidRDefault="00B41408" w:rsidP="00CA3AB7"/>
    <w:p w14:paraId="60EE948B" w14:textId="77777777" w:rsidR="00CA3AB7" w:rsidRDefault="00CA3AB7" w:rsidP="00CA3AB7">
      <w:r>
        <w:t>Staff may contact other students affected by the incident and offer support as appropriate.</w:t>
      </w:r>
    </w:p>
    <w:p w14:paraId="3FF6FEA8" w14:textId="571FBFB2" w:rsidR="00CA3AB7" w:rsidRDefault="00CA3AB7" w:rsidP="00CA3AB7"/>
    <w:p w14:paraId="5BCA6C8B" w14:textId="5F57EB64" w:rsidR="00345589" w:rsidRPr="00345589" w:rsidRDefault="00345589" w:rsidP="00345589">
      <w:pPr>
        <w:pStyle w:val="Heading3"/>
        <w:shd w:val="clear" w:color="auto" w:fill="FFFFFF"/>
        <w:spacing w:before="300" w:after="150"/>
        <w:rPr>
          <w:rFonts w:asciiTheme="minorHAnsi" w:eastAsia="Times New Roman" w:hAnsiTheme="minorHAnsi" w:cstheme="minorHAnsi"/>
          <w:color w:val="555555"/>
          <w:szCs w:val="27"/>
          <w:lang w:eastAsia="en-GB"/>
        </w:rPr>
      </w:pPr>
    </w:p>
    <w:p w14:paraId="7809EF6B" w14:textId="3032E152" w:rsidR="00CA3AB7" w:rsidRDefault="00CA3AB7">
      <w:pPr>
        <w:spacing w:after="160" w:line="259" w:lineRule="auto"/>
      </w:pPr>
      <w:r>
        <w:br w:type="page"/>
      </w:r>
    </w:p>
    <w:p w14:paraId="72AE3302" w14:textId="77777777" w:rsidR="00CA3AB7" w:rsidRDefault="00CA3AB7" w:rsidP="00CA3AB7">
      <w:pPr>
        <w:pStyle w:val="Heading1"/>
      </w:pPr>
      <w:bookmarkStart w:id="11" w:name="_Toc125637405"/>
      <w:r>
        <w:lastRenderedPageBreak/>
        <w:t>Appendix A</w:t>
      </w:r>
      <w:bookmarkEnd w:id="11"/>
    </w:p>
    <w:p w14:paraId="178CD352" w14:textId="51A9AF30" w:rsidR="00CA3AB7" w:rsidRDefault="00CA3AB7" w:rsidP="00CA3AB7">
      <w:pPr>
        <w:pStyle w:val="Heading2"/>
        <w:spacing w:line="259" w:lineRule="auto"/>
        <w:ind w:right="724"/>
      </w:pPr>
      <w:bookmarkStart w:id="12" w:name="_bookmark7"/>
      <w:bookmarkStart w:id="13" w:name="_Toc125637406"/>
      <w:bookmarkEnd w:id="12"/>
      <w:r>
        <w:t xml:space="preserve">Risk </w:t>
      </w:r>
      <w:r w:rsidR="00C25523">
        <w:t xml:space="preserve">assessment procedures for </w:t>
      </w:r>
      <w:r>
        <w:t xml:space="preserve">Student Support and Wellbeing </w:t>
      </w:r>
      <w:r w:rsidR="00C25523">
        <w:t>s</w:t>
      </w:r>
      <w:r>
        <w:t>ervices</w:t>
      </w:r>
      <w:bookmarkEnd w:id="13"/>
    </w:p>
    <w:p w14:paraId="33BD7132" w14:textId="2B4425FC" w:rsidR="00CA3AB7" w:rsidRDefault="00CA3AB7" w:rsidP="00CA3AB7">
      <w:pPr>
        <w:pStyle w:val="ListParagraph"/>
        <w:numPr>
          <w:ilvl w:val="0"/>
          <w:numId w:val="24"/>
        </w:numPr>
        <w:spacing w:before="120"/>
        <w:ind w:left="714" w:hanging="357"/>
        <w:contextualSpacing w:val="0"/>
      </w:pPr>
      <w:r>
        <w:t xml:space="preserve">A student’s capacity for suicide risk/harm to self or others will be discussed with the student, as appropriate, initially by a suitably trained member of </w:t>
      </w:r>
      <w:r w:rsidRPr="00CA3AB7">
        <w:rPr>
          <w:spacing w:val="-3"/>
        </w:rPr>
        <w:t xml:space="preserve">SSW </w:t>
      </w:r>
      <w:r>
        <w:t xml:space="preserve">(eg a member of the </w:t>
      </w:r>
      <w:r w:rsidR="00B41408">
        <w:t>Wellbeing Team</w:t>
      </w:r>
      <w:r>
        <w:t xml:space="preserve"> or one of the Registered Health Professionals) wherever possible.</w:t>
      </w:r>
    </w:p>
    <w:p w14:paraId="05AC66A8" w14:textId="5E436FD0" w:rsidR="00CA3AB7" w:rsidRDefault="00CA3AB7" w:rsidP="00CA3AB7">
      <w:pPr>
        <w:pStyle w:val="ListParagraph"/>
        <w:numPr>
          <w:ilvl w:val="0"/>
          <w:numId w:val="24"/>
        </w:numPr>
        <w:spacing w:before="120"/>
        <w:ind w:left="714" w:hanging="357"/>
        <w:contextualSpacing w:val="0"/>
      </w:pPr>
      <w:r>
        <w:t xml:space="preserve">The student will be asked questions relating to </w:t>
      </w:r>
      <w:r w:rsidR="00B41408">
        <w:t>r</w:t>
      </w:r>
      <w:r>
        <w:t>isk in accordance with the training of the team member working with</w:t>
      </w:r>
      <w:r w:rsidRPr="00CA3AB7">
        <w:rPr>
          <w:spacing w:val="-3"/>
        </w:rPr>
        <w:t xml:space="preserve"> </w:t>
      </w:r>
      <w:r>
        <w:t>them.</w:t>
      </w:r>
    </w:p>
    <w:p w14:paraId="41EAE631" w14:textId="25BFC302" w:rsidR="00CA3AB7" w:rsidRDefault="00CA3AB7" w:rsidP="00CA3AB7">
      <w:pPr>
        <w:pStyle w:val="ListParagraph"/>
        <w:numPr>
          <w:ilvl w:val="0"/>
          <w:numId w:val="24"/>
        </w:numPr>
        <w:spacing w:before="120"/>
        <w:ind w:left="714" w:hanging="357"/>
        <w:contextualSpacing w:val="0"/>
      </w:pPr>
      <w:r>
        <w:t>If the student appears to be at high risk then the procedures in this policy should be followed.</w:t>
      </w:r>
    </w:p>
    <w:p w14:paraId="6B8DB140" w14:textId="48A8DA6D" w:rsidR="00CA3AB7" w:rsidRDefault="00CA3AB7" w:rsidP="00CA3AB7">
      <w:pPr>
        <w:pStyle w:val="ListParagraph"/>
        <w:numPr>
          <w:ilvl w:val="0"/>
          <w:numId w:val="24"/>
        </w:numPr>
        <w:spacing w:before="120"/>
        <w:ind w:left="714" w:hanging="357"/>
        <w:contextualSpacing w:val="0"/>
      </w:pPr>
      <w:r>
        <w:t xml:space="preserve">If a student is expressing risk of harm to self or others, but this may not be imminent and they are ‘safe for now’, then </w:t>
      </w:r>
      <w:r w:rsidR="00B41408">
        <w:t>an</w:t>
      </w:r>
      <w:r>
        <w:t xml:space="preserve"> appropriately trained </w:t>
      </w:r>
      <w:r w:rsidR="00B41408">
        <w:t>adviser</w:t>
      </w:r>
      <w:r>
        <w:t xml:space="preserve"> should discuss </w:t>
      </w:r>
      <w:r w:rsidR="00B41408">
        <w:t>r</w:t>
      </w:r>
      <w:r>
        <w:t>isk with the student and fully explore this issue.</w:t>
      </w:r>
    </w:p>
    <w:p w14:paraId="35D5E115" w14:textId="0AC2541D" w:rsidR="00CA3AB7" w:rsidRDefault="00CA3AB7" w:rsidP="00CA3AB7">
      <w:pPr>
        <w:pStyle w:val="ListParagraph"/>
        <w:numPr>
          <w:ilvl w:val="0"/>
          <w:numId w:val="24"/>
        </w:numPr>
        <w:spacing w:before="120"/>
        <w:ind w:left="714" w:hanging="357"/>
        <w:contextualSpacing w:val="0"/>
      </w:pPr>
      <w:r>
        <w:t xml:space="preserve">If the student appears not to be at imminent risk then </w:t>
      </w:r>
      <w:r w:rsidR="00B41408">
        <w:t>the</w:t>
      </w:r>
      <w:r>
        <w:t xml:space="preserve"> appropriately trained </w:t>
      </w:r>
      <w:r w:rsidR="00B41408">
        <w:t>adviser</w:t>
      </w:r>
      <w:r>
        <w:t xml:space="preserve"> should document the discussion of </w:t>
      </w:r>
      <w:r w:rsidR="00B41408">
        <w:t>r</w:t>
      </w:r>
      <w:r>
        <w:t>isk with the student and seek advice/discuss this with their supervisor/manager as soon as possible.</w:t>
      </w:r>
    </w:p>
    <w:p w14:paraId="6928ADC8" w14:textId="7A87DBEF" w:rsidR="00CA3AB7" w:rsidRDefault="00B41408" w:rsidP="00CA3AB7">
      <w:pPr>
        <w:pStyle w:val="ListParagraph"/>
        <w:numPr>
          <w:ilvl w:val="0"/>
          <w:numId w:val="24"/>
        </w:numPr>
        <w:spacing w:before="120"/>
        <w:ind w:left="714" w:hanging="357"/>
        <w:contextualSpacing w:val="0"/>
      </w:pPr>
      <w:r>
        <w:t>M</w:t>
      </w:r>
      <w:r w:rsidR="00CA3AB7">
        <w:t xml:space="preserve">embers of Student </w:t>
      </w:r>
      <w:r>
        <w:t xml:space="preserve">Support and </w:t>
      </w:r>
      <w:r w:rsidR="00CA3AB7">
        <w:t>Wellbeing</w:t>
      </w:r>
      <w:r>
        <w:t xml:space="preserve"> </w:t>
      </w:r>
      <w:r w:rsidR="00CA3AB7">
        <w:t xml:space="preserve">working with students who may be at </w:t>
      </w:r>
      <w:r>
        <w:t>r</w:t>
      </w:r>
      <w:r w:rsidR="00CA3AB7">
        <w:t xml:space="preserve">isk will continue to review </w:t>
      </w:r>
      <w:r>
        <w:t>r</w:t>
      </w:r>
      <w:r w:rsidR="00CA3AB7">
        <w:t>isk regularly with the student, as appropriate.</w:t>
      </w:r>
    </w:p>
    <w:p w14:paraId="589FB29D" w14:textId="1EA8BB0F" w:rsidR="00CA3AB7" w:rsidRDefault="00CA3AB7" w:rsidP="00CA3AB7">
      <w:pPr>
        <w:pStyle w:val="ListParagraph"/>
        <w:numPr>
          <w:ilvl w:val="0"/>
          <w:numId w:val="24"/>
        </w:numPr>
        <w:spacing w:before="120"/>
        <w:ind w:left="714" w:hanging="357"/>
        <w:contextualSpacing w:val="0"/>
      </w:pPr>
      <w:r>
        <w:t xml:space="preserve">Students expressing suicidal thoughts may also be referred to their GP for </w:t>
      </w:r>
      <w:r w:rsidR="00B41408">
        <w:t xml:space="preserve">further mental health assessment or other approved professional in line with </w:t>
      </w:r>
      <w:r>
        <w:t>the Mental Health Act</w:t>
      </w:r>
      <w:r w:rsidRPr="00CA3AB7">
        <w:rPr>
          <w:spacing w:val="-2"/>
        </w:rPr>
        <w:t xml:space="preserve"> </w:t>
      </w:r>
      <w:r>
        <w:t>2007.</w:t>
      </w:r>
    </w:p>
    <w:p w14:paraId="01940C87" w14:textId="5838F834" w:rsidR="00CA3AB7" w:rsidRDefault="00CA3AB7" w:rsidP="00CA3AB7">
      <w:pPr>
        <w:pStyle w:val="ListParagraph"/>
        <w:numPr>
          <w:ilvl w:val="0"/>
          <w:numId w:val="24"/>
        </w:numPr>
        <w:spacing w:before="120"/>
        <w:ind w:left="714" w:hanging="357"/>
        <w:contextualSpacing w:val="0"/>
      </w:pPr>
      <w:r>
        <w:t xml:space="preserve">If a student has been aggressive or behaved in an unacceptable manner to a member of staff or other person(s) on campus or over the phone, then a full report needs to be provided, and an investigation </w:t>
      </w:r>
      <w:r w:rsidR="00D26BF3">
        <w:t>may</w:t>
      </w:r>
      <w:r>
        <w:t xml:space="preserve"> follow in line with</w:t>
      </w:r>
      <w:r w:rsidR="00B41408">
        <w:t xml:space="preserve"> the</w:t>
      </w:r>
      <w:r>
        <w:t xml:space="preserve"> </w:t>
      </w:r>
      <w:r w:rsidR="00B41408" w:rsidRPr="00B41408">
        <w:t>u</w:t>
      </w:r>
      <w:r w:rsidRPr="00B41408">
        <w:t xml:space="preserve">niversity </w:t>
      </w:r>
      <w:r w:rsidR="00B41408" w:rsidRPr="00B41408">
        <w:t>disciplinary policy</w:t>
      </w:r>
      <w:r w:rsidR="00D26BF3">
        <w:t xml:space="preserve">, the Fitness to Study Policy or the </w:t>
      </w:r>
      <w:r w:rsidR="00D26BF3" w:rsidRPr="00D26BF3">
        <w:t>Professional Suitability and Fitness to Practice</w:t>
      </w:r>
      <w:r w:rsidR="00D26BF3">
        <w:t xml:space="preserve"> Policy as appropriate.</w:t>
      </w:r>
    </w:p>
    <w:p w14:paraId="097412FB" w14:textId="77777777" w:rsidR="00CA3AB7" w:rsidRPr="00CA3AB7" w:rsidRDefault="00CA3AB7" w:rsidP="00CA3AB7"/>
    <w:p w14:paraId="2AFACD99" w14:textId="32B7EFCE" w:rsidR="00CA3AB7" w:rsidRDefault="00CA3AB7">
      <w:pPr>
        <w:spacing w:after="160" w:line="259" w:lineRule="auto"/>
      </w:pPr>
      <w:r>
        <w:br w:type="page"/>
      </w:r>
    </w:p>
    <w:p w14:paraId="238C4C73" w14:textId="77777777" w:rsidR="00CA3AB7" w:rsidRDefault="00CA3AB7" w:rsidP="00CA3AB7">
      <w:pPr>
        <w:pStyle w:val="Heading1"/>
      </w:pPr>
      <w:bookmarkStart w:id="14" w:name="_Toc125637407"/>
      <w:r>
        <w:lastRenderedPageBreak/>
        <w:t>Appendix B</w:t>
      </w:r>
      <w:bookmarkEnd w:id="14"/>
    </w:p>
    <w:p w14:paraId="187A655D" w14:textId="77777777" w:rsidR="00CA3AB7" w:rsidRDefault="00CA3AB7" w:rsidP="00CA3AB7">
      <w:pPr>
        <w:pStyle w:val="Heading2"/>
      </w:pPr>
      <w:bookmarkStart w:id="15" w:name="_bookmark9"/>
      <w:bookmarkStart w:id="16" w:name="_Toc125637408"/>
      <w:bookmarkEnd w:id="15"/>
      <w:r>
        <w:t>Confidentiality guidelines</w:t>
      </w:r>
      <w:bookmarkEnd w:id="16"/>
    </w:p>
    <w:p w14:paraId="2A8F6A5E" w14:textId="5C2195B4" w:rsidR="00CA3AB7" w:rsidRDefault="00CA3AB7" w:rsidP="00CA3AB7">
      <w:r>
        <w:t>Under the BACP Ethical Framework for Counselling Professions (2018, Good Practice, page 13, Section: 10), confidentiality may need to be overridden, with consent of the client or without their consent, in the following circumstances:</w:t>
      </w:r>
    </w:p>
    <w:p w14:paraId="0F790AF0" w14:textId="77777777" w:rsidR="00B41408" w:rsidRDefault="00B41408" w:rsidP="00CA3AB7"/>
    <w:p w14:paraId="5AF059DC" w14:textId="31A545EC" w:rsidR="00CA3AB7" w:rsidRDefault="00CA3AB7" w:rsidP="00CA3AB7">
      <w:r>
        <w:t>“In exceptional circumstances, the need to safeguard our clients or others from serious harm may require us to override our commitment to making our client’s wishes and confidentiality our primary concern. We may need to act in ways that will support any investigations or actions necessary to prevent serious harm to our clients or others. In such circumstances, we will do our best to respect the parts of our client’s wishes or confidences that do not need to be overridden in order to prevent serious harm.”</w:t>
      </w:r>
    </w:p>
    <w:p w14:paraId="1C9F18EC" w14:textId="1A4C0631" w:rsidR="00CA3AB7" w:rsidRDefault="00CA3AB7" w:rsidP="000F43C5">
      <w:pPr>
        <w:pStyle w:val="BodyText"/>
        <w:spacing w:before="119"/>
        <w:ind w:right="561"/>
      </w:pPr>
      <w:r>
        <w:t>In line with the NMC Code (2015, Section 5, Prioritise people, 5.4. and 5.5) confidentiality may need to be breached to:</w:t>
      </w:r>
    </w:p>
    <w:p w14:paraId="1E8BE1CA" w14:textId="327E4A47" w:rsidR="00CA3AB7" w:rsidRDefault="00CA3AB7" w:rsidP="000F43C5">
      <w:pPr>
        <w:pStyle w:val="BodyText"/>
        <w:tabs>
          <w:tab w:val="left" w:pos="2057"/>
        </w:tabs>
        <w:spacing w:before="121"/>
        <w:ind w:left="1431" w:right="234" w:hanging="711"/>
      </w:pPr>
      <w:r>
        <w:t>“5.4</w:t>
      </w:r>
      <w:r>
        <w:tab/>
        <w:t>share necessary information with other healthcare professionals and agencies only when the interests of patient safety and public protection override the need for</w:t>
      </w:r>
      <w:r>
        <w:rPr>
          <w:spacing w:val="-2"/>
        </w:rPr>
        <w:t xml:space="preserve"> </w:t>
      </w:r>
      <w:r>
        <w:t>confidentiality</w:t>
      </w:r>
      <w:r w:rsidR="00C25523">
        <w:t>”</w:t>
      </w:r>
    </w:p>
    <w:p w14:paraId="7761C3DE" w14:textId="37D4C021" w:rsidR="00CA3AB7" w:rsidRDefault="00C25523" w:rsidP="000F43C5">
      <w:pPr>
        <w:pStyle w:val="BodyText"/>
        <w:tabs>
          <w:tab w:val="left" w:pos="2057"/>
        </w:tabs>
        <w:spacing w:before="119"/>
        <w:ind w:left="1431" w:right="330" w:hanging="711"/>
      </w:pPr>
      <w:r>
        <w:t>“</w:t>
      </w:r>
      <w:r w:rsidR="00CA3AB7">
        <w:t>5.5</w:t>
      </w:r>
      <w:r w:rsidR="00CA3AB7">
        <w:tab/>
        <w:t xml:space="preserve">share with people, their families and their </w:t>
      </w:r>
      <w:proofErr w:type="spellStart"/>
      <w:r w:rsidR="00CA3AB7">
        <w:t>carers</w:t>
      </w:r>
      <w:proofErr w:type="spellEnd"/>
      <w:r w:rsidR="00CA3AB7">
        <w:t xml:space="preserve">, as far as the law allows, the information they want or need to know about their health, care and ongoing treatment sensitively and in a </w:t>
      </w:r>
      <w:proofErr w:type="gramStart"/>
      <w:r w:rsidR="00CA3AB7">
        <w:t>way</w:t>
      </w:r>
      <w:proofErr w:type="gramEnd"/>
      <w:r w:rsidR="00CA3AB7">
        <w:t xml:space="preserve"> they can</w:t>
      </w:r>
      <w:r w:rsidR="00CA3AB7">
        <w:rPr>
          <w:spacing w:val="-9"/>
        </w:rPr>
        <w:t xml:space="preserve"> </w:t>
      </w:r>
      <w:r w:rsidR="00CA3AB7">
        <w:t>understand.”</w:t>
      </w:r>
    </w:p>
    <w:p w14:paraId="7CA41268" w14:textId="11B256CB" w:rsidR="00CA3AB7" w:rsidRDefault="00CA3AB7" w:rsidP="000F43C5">
      <w:pPr>
        <w:pStyle w:val="BodyText"/>
        <w:spacing w:before="122"/>
        <w:ind w:right="464"/>
      </w:pPr>
      <w:r>
        <w:t xml:space="preserve">Confidentiality is therefore dependent on the legal and ethical risk to the harm of self or others, and public protection, and may need to be overridden in certain cases, in line with </w:t>
      </w:r>
      <w:r w:rsidR="00B41408">
        <w:t>u</w:t>
      </w:r>
      <w:r>
        <w:t xml:space="preserve">niversity safeguarding. Students receiving support from </w:t>
      </w:r>
      <w:r w:rsidR="001D1C9E">
        <w:t xml:space="preserve">a Student Support and Wellbeing adviser </w:t>
      </w:r>
      <w:r>
        <w:t>will be notified of this when consent is obtained to access a service.</w:t>
      </w:r>
    </w:p>
    <w:p w14:paraId="55777053" w14:textId="77777777" w:rsidR="00CA3AB7" w:rsidRPr="000E296F" w:rsidRDefault="00CA3AB7" w:rsidP="00CA3AB7"/>
    <w:sectPr w:rsidR="00CA3AB7" w:rsidRPr="000E296F" w:rsidSect="00765811">
      <w:headerReference w:type="default" r:id="rId24"/>
      <w:footerReference w:type="default" r:id="rId25"/>
      <w:footerReference w:type="first" r:id="rId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135BB6" w:rsidRDefault="00135BB6" w:rsidP="000B4305">
      <w:r>
        <w:separator/>
      </w:r>
    </w:p>
  </w:endnote>
  <w:endnote w:type="continuationSeparator" w:id="0">
    <w:p w14:paraId="75F15B29" w14:textId="77777777" w:rsidR="00135BB6" w:rsidRDefault="00135BB6"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BC97" w14:textId="17522A16" w:rsidR="00135BB6" w:rsidRPr="00765811" w:rsidRDefault="00135BB6"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1</w:t>
    </w:r>
    <w:r w:rsidRPr="00991280">
      <w:rPr>
        <w:b/>
        <w:bCs/>
        <w:sz w:val="12"/>
        <w:szCs w:val="12"/>
      </w:rPr>
      <w:fldChar w:fldCharType="end"/>
    </w:r>
    <w:r w:rsidRPr="00991280">
      <w:rPr>
        <w:sz w:val="12"/>
        <w:szCs w:val="12"/>
      </w:rPr>
      <w:t xml:space="preserve"> of </w:t>
    </w:r>
    <w:r w:rsidR="001D1C9E">
      <w:rPr>
        <w:b/>
        <w:bCs/>
        <w:sz w:val="12"/>
        <w:szCs w:val="12"/>
      </w:rPr>
      <w:t>7</w:t>
    </w:r>
  </w:p>
  <w:p w14:paraId="47EBF4CB" w14:textId="77777777" w:rsidR="00D524E6" w:rsidRDefault="00D524E6" w:rsidP="007270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73A" w14:textId="65A6ACA8" w:rsidR="00135BB6" w:rsidRPr="00765811" w:rsidRDefault="00135BB6"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sidRPr="00765811">
      <w:rPr>
        <w:sz w:val="12"/>
        <w:szCs w:val="12"/>
      </w:rPr>
      <w:tab/>
      <w:t xml:space="preserve">page </w:t>
    </w:r>
    <w:r w:rsidRPr="00765811">
      <w:rPr>
        <w:b/>
        <w:bCs/>
        <w:sz w:val="12"/>
        <w:szCs w:val="12"/>
      </w:rPr>
      <w:fldChar w:fldCharType="begin"/>
    </w:r>
    <w:r w:rsidRPr="00765811">
      <w:rPr>
        <w:b/>
        <w:bCs/>
        <w:sz w:val="12"/>
        <w:szCs w:val="12"/>
      </w:rPr>
      <w:instrText xml:space="preserve"> PAGE </w:instrText>
    </w:r>
    <w:r w:rsidRPr="00765811">
      <w:rPr>
        <w:b/>
        <w:bCs/>
        <w:sz w:val="12"/>
        <w:szCs w:val="12"/>
      </w:rPr>
      <w:fldChar w:fldCharType="separate"/>
    </w:r>
    <w:r w:rsidRPr="00765811">
      <w:rPr>
        <w:b/>
        <w:bCs/>
        <w:sz w:val="12"/>
        <w:szCs w:val="12"/>
      </w:rPr>
      <w:t>1</w:t>
    </w:r>
    <w:r w:rsidRPr="00765811">
      <w:rPr>
        <w:b/>
        <w:bCs/>
        <w:sz w:val="12"/>
        <w:szCs w:val="12"/>
      </w:rPr>
      <w:fldChar w:fldCharType="end"/>
    </w:r>
    <w:r w:rsidRPr="00765811">
      <w:rPr>
        <w:sz w:val="12"/>
        <w:szCs w:val="12"/>
      </w:rPr>
      <w:t xml:space="preserve"> of </w:t>
    </w:r>
    <w:r w:rsidR="001D1C9E">
      <w:rPr>
        <w:b/>
        <w:bCs/>
        <w:sz w:val="12"/>
        <w:szCs w:val="12"/>
      </w:rPr>
      <w:t>7</w:t>
    </w:r>
  </w:p>
  <w:p w14:paraId="5900FDA1" w14:textId="77777777" w:rsidR="00D524E6" w:rsidRDefault="00D524E6" w:rsidP="007270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135BB6" w:rsidRDefault="00135BB6" w:rsidP="000B4305">
      <w:r>
        <w:separator/>
      </w:r>
    </w:p>
  </w:footnote>
  <w:footnote w:type="continuationSeparator" w:id="0">
    <w:p w14:paraId="2D2A4611" w14:textId="77777777" w:rsidR="00135BB6" w:rsidRDefault="00135BB6" w:rsidP="000B4305">
      <w:r>
        <w:continuationSeparator/>
      </w:r>
    </w:p>
  </w:footnote>
  <w:footnote w:id="1">
    <w:p w14:paraId="602806A6" w14:textId="48A9B268" w:rsidR="002C1DF2" w:rsidRDefault="002C1DF2">
      <w:pPr>
        <w:pStyle w:val="FootnoteText"/>
      </w:pPr>
      <w:r>
        <w:rPr>
          <w:rStyle w:val="FootnoteReference"/>
        </w:rPr>
        <w:footnoteRef/>
      </w:r>
      <w:r>
        <w:t xml:space="preserve"> </w:t>
      </w:r>
      <w:r w:rsidRPr="002C1DF2">
        <w:rPr>
          <w:sz w:val="16"/>
        </w:rPr>
        <w:t>Copyright © 2018 British Association for Counselling and Psychotherapy. First published 2018. This Ethical Framework for the Counselling Professions takes effect from 1 July 2018</w:t>
      </w:r>
      <w:r>
        <w:rPr>
          <w:sz w:val="16"/>
        </w:rPr>
        <w:t>.</w:t>
      </w:r>
    </w:p>
  </w:footnote>
  <w:footnote w:id="2">
    <w:p w14:paraId="29E70999" w14:textId="222CC94B" w:rsidR="00AC4C1D" w:rsidRDefault="00AC4C1D">
      <w:pPr>
        <w:pStyle w:val="FootnoteText"/>
      </w:pPr>
      <w:r>
        <w:rPr>
          <w:rStyle w:val="FootnoteReference"/>
        </w:rPr>
        <w:footnoteRef/>
      </w:r>
      <w:r>
        <w:t xml:space="preserve"> </w:t>
      </w:r>
      <w:r w:rsidR="007270E7" w:rsidRPr="007270E7">
        <w:rPr>
          <w:sz w:val="16"/>
          <w:szCs w:val="16"/>
        </w:rPr>
        <w:t xml:space="preserve">Published by the Nursing and Midwifery Council </w:t>
      </w:r>
      <w:r w:rsidRPr="007270E7">
        <w:rPr>
          <w:sz w:val="16"/>
          <w:szCs w:val="16"/>
        </w:rPr>
        <w:t>29 January 2015</w:t>
      </w:r>
      <w:r w:rsidR="007270E7" w:rsidRPr="007270E7">
        <w:rPr>
          <w:sz w:val="16"/>
          <w:szCs w:val="16"/>
        </w:rPr>
        <w:t>, e</w:t>
      </w:r>
      <w:r w:rsidRPr="007270E7">
        <w:rPr>
          <w:sz w:val="16"/>
          <w:szCs w:val="16"/>
        </w:rPr>
        <w:t>ffective from: 31 March 2015 Updated to reflect the regulation of nursing associates: 10 October 2018</w:t>
      </w:r>
    </w:p>
  </w:footnote>
  <w:footnote w:id="3">
    <w:p w14:paraId="608E0817" w14:textId="1F9BA890" w:rsidR="00CA3AB7" w:rsidRDefault="00CA3AB7" w:rsidP="00CA3AB7">
      <w:pPr>
        <w:spacing w:before="101"/>
        <w:ind w:right="293"/>
      </w:pPr>
      <w:r>
        <w:rPr>
          <w:rStyle w:val="FootnoteReference"/>
        </w:rPr>
        <w:footnoteRef/>
      </w:r>
      <w:r>
        <w:t xml:space="preserve"> </w:t>
      </w:r>
      <w:hyperlink r:id="rId1" w:history="1">
        <w:r w:rsidR="004F28FB" w:rsidRPr="004F28FB">
          <w:rPr>
            <w:rStyle w:val="Hyperlink"/>
            <w:sz w:val="16"/>
          </w:rPr>
          <w:t>Suicides in England 2021</w:t>
        </w:r>
      </w:hyperlink>
      <w:r w:rsidR="004F28FB">
        <w:rPr>
          <w:sz w:val="16"/>
        </w:rPr>
        <w:t xml:space="preserve"> published by the Samaritans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9025" w14:textId="692F03B0" w:rsidR="00135BB6" w:rsidRDefault="0013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7D8"/>
    <w:multiLevelType w:val="hybridMultilevel"/>
    <w:tmpl w:val="CCE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A3D7E"/>
    <w:multiLevelType w:val="hybridMultilevel"/>
    <w:tmpl w:val="778C9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1F53A4"/>
    <w:multiLevelType w:val="hybridMultilevel"/>
    <w:tmpl w:val="1BC4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441B3"/>
    <w:multiLevelType w:val="hybridMultilevel"/>
    <w:tmpl w:val="5AB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64EA"/>
    <w:multiLevelType w:val="hybridMultilevel"/>
    <w:tmpl w:val="86AE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5644"/>
    <w:multiLevelType w:val="hybridMultilevel"/>
    <w:tmpl w:val="8B7CB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F72D1B"/>
    <w:multiLevelType w:val="hybridMultilevel"/>
    <w:tmpl w:val="2FCA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B5C3F"/>
    <w:multiLevelType w:val="hybridMultilevel"/>
    <w:tmpl w:val="7252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C162A"/>
    <w:multiLevelType w:val="hybridMultilevel"/>
    <w:tmpl w:val="1BFABA34"/>
    <w:lvl w:ilvl="0" w:tplc="08090019">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CE56ED6"/>
    <w:multiLevelType w:val="hybridMultilevel"/>
    <w:tmpl w:val="ACD6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32A98"/>
    <w:multiLevelType w:val="hybridMultilevel"/>
    <w:tmpl w:val="0F8CF0F8"/>
    <w:lvl w:ilvl="0" w:tplc="0FD01658">
      <w:start w:val="1"/>
      <w:numFmt w:val="decimal"/>
      <w:lvlText w:val="%1."/>
      <w:lvlJc w:val="left"/>
      <w:pPr>
        <w:ind w:left="360" w:hanging="360"/>
      </w:pPr>
      <w:rPr>
        <w:rFonts w:asciiTheme="minorHAnsi" w:eastAsia="Arial" w:hAnsiTheme="minorHAnsi" w:cstheme="minorHAnsi" w:hint="default"/>
        <w:spacing w:val="-1"/>
        <w:w w:val="100"/>
        <w:sz w:val="22"/>
        <w:szCs w:val="22"/>
        <w:lang w:val="en-GB" w:eastAsia="en-US" w:bidi="ar-SA"/>
      </w:rPr>
    </w:lvl>
    <w:lvl w:ilvl="1" w:tplc="4F1AF78A">
      <w:numFmt w:val="bullet"/>
      <w:lvlText w:val=""/>
      <w:lvlJc w:val="left"/>
      <w:pPr>
        <w:ind w:left="720" w:hanging="360"/>
      </w:pPr>
      <w:rPr>
        <w:rFonts w:hint="default"/>
        <w:w w:val="100"/>
        <w:lang w:val="en-GB" w:eastAsia="en-US" w:bidi="ar-SA"/>
      </w:rPr>
    </w:lvl>
    <w:lvl w:ilvl="2" w:tplc="2FAAF7E4">
      <w:numFmt w:val="bullet"/>
      <w:lvlText w:val="•"/>
      <w:lvlJc w:val="left"/>
      <w:pPr>
        <w:ind w:left="1442" w:hanging="360"/>
      </w:pPr>
      <w:rPr>
        <w:rFonts w:hint="default"/>
        <w:lang w:val="en-GB" w:eastAsia="en-US" w:bidi="ar-SA"/>
      </w:rPr>
    </w:lvl>
    <w:lvl w:ilvl="3" w:tplc="9DF079F4">
      <w:numFmt w:val="bullet"/>
      <w:lvlText w:val="•"/>
      <w:lvlJc w:val="left"/>
      <w:pPr>
        <w:ind w:left="2417" w:hanging="360"/>
      </w:pPr>
      <w:rPr>
        <w:rFonts w:hint="default"/>
        <w:lang w:val="en-GB" w:eastAsia="en-US" w:bidi="ar-SA"/>
      </w:rPr>
    </w:lvl>
    <w:lvl w:ilvl="4" w:tplc="EFB8168C">
      <w:numFmt w:val="bullet"/>
      <w:lvlText w:val="•"/>
      <w:lvlJc w:val="left"/>
      <w:pPr>
        <w:ind w:left="3393" w:hanging="360"/>
      </w:pPr>
      <w:rPr>
        <w:rFonts w:hint="default"/>
        <w:lang w:val="en-GB" w:eastAsia="en-US" w:bidi="ar-SA"/>
      </w:rPr>
    </w:lvl>
    <w:lvl w:ilvl="5" w:tplc="502E56A4">
      <w:numFmt w:val="bullet"/>
      <w:lvlText w:val="•"/>
      <w:lvlJc w:val="left"/>
      <w:pPr>
        <w:ind w:left="4369" w:hanging="360"/>
      </w:pPr>
      <w:rPr>
        <w:rFonts w:hint="default"/>
        <w:lang w:val="en-GB" w:eastAsia="en-US" w:bidi="ar-SA"/>
      </w:rPr>
    </w:lvl>
    <w:lvl w:ilvl="6" w:tplc="5028932A">
      <w:numFmt w:val="bullet"/>
      <w:lvlText w:val="•"/>
      <w:lvlJc w:val="left"/>
      <w:pPr>
        <w:ind w:left="5345" w:hanging="360"/>
      </w:pPr>
      <w:rPr>
        <w:rFonts w:hint="default"/>
        <w:lang w:val="en-GB" w:eastAsia="en-US" w:bidi="ar-SA"/>
      </w:rPr>
    </w:lvl>
    <w:lvl w:ilvl="7" w:tplc="24CA9CCA">
      <w:numFmt w:val="bullet"/>
      <w:lvlText w:val="•"/>
      <w:lvlJc w:val="left"/>
      <w:pPr>
        <w:ind w:left="6321" w:hanging="360"/>
      </w:pPr>
      <w:rPr>
        <w:rFonts w:hint="default"/>
        <w:lang w:val="en-GB" w:eastAsia="en-US" w:bidi="ar-SA"/>
      </w:rPr>
    </w:lvl>
    <w:lvl w:ilvl="8" w:tplc="99C47A9E">
      <w:numFmt w:val="bullet"/>
      <w:lvlText w:val="•"/>
      <w:lvlJc w:val="left"/>
      <w:pPr>
        <w:ind w:left="7296" w:hanging="360"/>
      </w:pPr>
      <w:rPr>
        <w:rFonts w:hint="default"/>
        <w:lang w:val="en-GB" w:eastAsia="en-US" w:bidi="ar-SA"/>
      </w:rPr>
    </w:lvl>
  </w:abstractNum>
  <w:abstractNum w:abstractNumId="13" w15:restartNumberingAfterBreak="0">
    <w:nsid w:val="46EA39C4"/>
    <w:multiLevelType w:val="hybridMultilevel"/>
    <w:tmpl w:val="11D0CD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F3062"/>
    <w:multiLevelType w:val="hybridMultilevel"/>
    <w:tmpl w:val="D612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F3B2E"/>
    <w:multiLevelType w:val="hybridMultilevel"/>
    <w:tmpl w:val="11F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87DE7"/>
    <w:multiLevelType w:val="hybridMultilevel"/>
    <w:tmpl w:val="93E64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806DF"/>
    <w:multiLevelType w:val="hybridMultilevel"/>
    <w:tmpl w:val="8D0EC5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A52083"/>
    <w:multiLevelType w:val="hybridMultilevel"/>
    <w:tmpl w:val="24B22EEE"/>
    <w:lvl w:ilvl="0" w:tplc="E952A6F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AA7156"/>
    <w:multiLevelType w:val="hybridMultilevel"/>
    <w:tmpl w:val="7A6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C7DD3"/>
    <w:multiLevelType w:val="hybridMultilevel"/>
    <w:tmpl w:val="B476B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705952CD"/>
    <w:multiLevelType w:val="hybridMultilevel"/>
    <w:tmpl w:val="9AD66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1"/>
  </w:num>
  <w:num w:numId="3">
    <w:abstractNumId w:val="2"/>
  </w:num>
  <w:num w:numId="4">
    <w:abstractNumId w:val="7"/>
  </w:num>
  <w:num w:numId="5">
    <w:abstractNumId w:val="10"/>
  </w:num>
  <w:num w:numId="6">
    <w:abstractNumId w:val="1"/>
  </w:num>
  <w:num w:numId="7">
    <w:abstractNumId w:val="14"/>
  </w:num>
  <w:num w:numId="8">
    <w:abstractNumId w:val="18"/>
  </w:num>
  <w:num w:numId="9">
    <w:abstractNumId w:val="4"/>
  </w:num>
  <w:num w:numId="10">
    <w:abstractNumId w:val="15"/>
  </w:num>
  <w:num w:numId="11">
    <w:abstractNumId w:val="9"/>
  </w:num>
  <w:num w:numId="12">
    <w:abstractNumId w:val="0"/>
  </w:num>
  <w:num w:numId="13">
    <w:abstractNumId w:val="11"/>
  </w:num>
  <w:num w:numId="14">
    <w:abstractNumId w:val="8"/>
  </w:num>
  <w:num w:numId="15">
    <w:abstractNumId w:val="12"/>
  </w:num>
  <w:num w:numId="16">
    <w:abstractNumId w:val="20"/>
  </w:num>
  <w:num w:numId="17">
    <w:abstractNumId w:val="16"/>
  </w:num>
  <w:num w:numId="18">
    <w:abstractNumId w:val="19"/>
  </w:num>
  <w:num w:numId="19">
    <w:abstractNumId w:val="3"/>
  </w:num>
  <w:num w:numId="20">
    <w:abstractNumId w:val="5"/>
  </w:num>
  <w:num w:numId="21">
    <w:abstractNumId w:val="13"/>
  </w:num>
  <w:num w:numId="22">
    <w:abstractNumId w:val="23"/>
  </w:num>
  <w:num w:numId="23">
    <w:abstractNumId w:val="17"/>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631B4"/>
    <w:rsid w:val="000B4305"/>
    <w:rsid w:val="000E296F"/>
    <w:rsid w:val="000F43C5"/>
    <w:rsid w:val="00135BB6"/>
    <w:rsid w:val="00157B79"/>
    <w:rsid w:val="00167041"/>
    <w:rsid w:val="0018788E"/>
    <w:rsid w:val="001925DE"/>
    <w:rsid w:val="00196116"/>
    <w:rsid w:val="001C1728"/>
    <w:rsid w:val="001D1C9E"/>
    <w:rsid w:val="001F2A21"/>
    <w:rsid w:val="00235D6A"/>
    <w:rsid w:val="002C1DF2"/>
    <w:rsid w:val="002C365D"/>
    <w:rsid w:val="002C4016"/>
    <w:rsid w:val="00345589"/>
    <w:rsid w:val="00361410"/>
    <w:rsid w:val="00397A90"/>
    <w:rsid w:val="00403580"/>
    <w:rsid w:val="0040499C"/>
    <w:rsid w:val="0041463F"/>
    <w:rsid w:val="004937DF"/>
    <w:rsid w:val="00496209"/>
    <w:rsid w:val="004B3E97"/>
    <w:rsid w:val="004B512F"/>
    <w:rsid w:val="004F28FB"/>
    <w:rsid w:val="005A67F4"/>
    <w:rsid w:val="005C342B"/>
    <w:rsid w:val="0061352E"/>
    <w:rsid w:val="006945B7"/>
    <w:rsid w:val="00716DEB"/>
    <w:rsid w:val="007270E7"/>
    <w:rsid w:val="00731AD3"/>
    <w:rsid w:val="0073662B"/>
    <w:rsid w:val="00765811"/>
    <w:rsid w:val="007831D5"/>
    <w:rsid w:val="00820C68"/>
    <w:rsid w:val="00935BB8"/>
    <w:rsid w:val="009B4781"/>
    <w:rsid w:val="009C35ED"/>
    <w:rsid w:val="00A11A57"/>
    <w:rsid w:val="00A20C81"/>
    <w:rsid w:val="00A25B3E"/>
    <w:rsid w:val="00A759AD"/>
    <w:rsid w:val="00A84792"/>
    <w:rsid w:val="00AC4C1D"/>
    <w:rsid w:val="00B06C21"/>
    <w:rsid w:val="00B32402"/>
    <w:rsid w:val="00B41408"/>
    <w:rsid w:val="00B46334"/>
    <w:rsid w:val="00B533EF"/>
    <w:rsid w:val="00B95A4F"/>
    <w:rsid w:val="00BA1EC0"/>
    <w:rsid w:val="00BF4F8C"/>
    <w:rsid w:val="00C217CA"/>
    <w:rsid w:val="00C25523"/>
    <w:rsid w:val="00C569FA"/>
    <w:rsid w:val="00CA3AB7"/>
    <w:rsid w:val="00CD7B4F"/>
    <w:rsid w:val="00D26BF3"/>
    <w:rsid w:val="00D524E6"/>
    <w:rsid w:val="00D903D6"/>
    <w:rsid w:val="00D9142B"/>
    <w:rsid w:val="00D96E3F"/>
    <w:rsid w:val="00DB6AED"/>
    <w:rsid w:val="00DC3615"/>
    <w:rsid w:val="00E230C1"/>
    <w:rsid w:val="00E27E8C"/>
    <w:rsid w:val="00E9321D"/>
    <w:rsid w:val="00ED2DF8"/>
    <w:rsid w:val="00ED6D35"/>
    <w:rsid w:val="00F233AD"/>
    <w:rsid w:val="00F240BB"/>
    <w:rsid w:val="00F634E7"/>
    <w:rsid w:val="00FA5986"/>
    <w:rsid w:val="00FD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79"/>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uiPriority w:val="9"/>
    <w:qFormat/>
    <w:rsid w:val="000E29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E3F"/>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765811"/>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D96E3F"/>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1"/>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customStyle="1" w:styleId="Default">
    <w:name w:val="Default"/>
    <w:rsid w:val="00765811"/>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FootnoteText">
    <w:name w:val="footnote text"/>
    <w:basedOn w:val="Normal"/>
    <w:link w:val="FootnoteTextChar"/>
    <w:uiPriority w:val="99"/>
    <w:unhideWhenUsed/>
    <w:rsid w:val="00FD130C"/>
    <w:pPr>
      <w:widowControl w:val="0"/>
      <w:autoSpaceDE w:val="0"/>
      <w:autoSpaceDN w:val="0"/>
      <w:adjustRightInd w:val="0"/>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FD130C"/>
    <w:rPr>
      <w:rFonts w:eastAsia="SimSun" w:cs="Arial"/>
      <w:sz w:val="20"/>
      <w:szCs w:val="20"/>
      <w:lang w:eastAsia="zh-CN"/>
    </w:rPr>
  </w:style>
  <w:style w:type="character" w:styleId="FootnoteReference">
    <w:name w:val="footnote reference"/>
    <w:basedOn w:val="DefaultParagraphFont"/>
    <w:uiPriority w:val="99"/>
    <w:unhideWhenUsed/>
    <w:rsid w:val="00FD130C"/>
    <w:rPr>
      <w:rFonts w:ascii="Calibri" w:hAnsi="Calibri"/>
      <w:sz w:val="20"/>
      <w:vertAlign w:val="superscript"/>
    </w:rPr>
  </w:style>
  <w:style w:type="paragraph" w:styleId="TOC2">
    <w:name w:val="toc 2"/>
    <w:basedOn w:val="Normal"/>
    <w:next w:val="Normal"/>
    <w:autoRedefine/>
    <w:uiPriority w:val="39"/>
    <w:unhideWhenUsed/>
    <w:rsid w:val="00E9321D"/>
    <w:pPr>
      <w:tabs>
        <w:tab w:val="right" w:leader="dot" w:pos="9016"/>
      </w:tabs>
      <w:spacing w:after="100"/>
      <w:ind w:left="567"/>
    </w:pPr>
  </w:style>
  <w:style w:type="character" w:styleId="UnresolvedMention">
    <w:name w:val="Unresolved Mention"/>
    <w:basedOn w:val="DefaultParagraphFont"/>
    <w:uiPriority w:val="99"/>
    <w:semiHidden/>
    <w:unhideWhenUsed/>
    <w:rsid w:val="00E9321D"/>
    <w:rPr>
      <w:color w:val="605E5C"/>
      <w:shd w:val="clear" w:color="auto" w:fill="E1DFDD"/>
    </w:rPr>
  </w:style>
  <w:style w:type="character" w:styleId="FollowedHyperlink">
    <w:name w:val="FollowedHyperlink"/>
    <w:basedOn w:val="DefaultParagraphFont"/>
    <w:uiPriority w:val="99"/>
    <w:semiHidden/>
    <w:unhideWhenUsed/>
    <w:rsid w:val="00C217CA"/>
    <w:rPr>
      <w:color w:val="954F72" w:themeColor="followedHyperlink"/>
      <w:u w:val="single"/>
    </w:rPr>
  </w:style>
  <w:style w:type="character" w:styleId="Strong">
    <w:name w:val="Strong"/>
    <w:basedOn w:val="DefaultParagraphFont"/>
    <w:uiPriority w:val="22"/>
    <w:qFormat/>
    <w:rsid w:val="00345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17872">
      <w:bodyDiv w:val="1"/>
      <w:marLeft w:val="0"/>
      <w:marRight w:val="0"/>
      <w:marTop w:val="0"/>
      <w:marBottom w:val="0"/>
      <w:divBdr>
        <w:top w:val="none" w:sz="0" w:space="0" w:color="auto"/>
        <w:left w:val="none" w:sz="0" w:space="0" w:color="auto"/>
        <w:bottom w:val="none" w:sz="0" w:space="0" w:color="auto"/>
        <w:right w:val="none" w:sz="0" w:space="0" w:color="auto"/>
      </w:divBdr>
    </w:div>
    <w:div w:id="693000393">
      <w:bodyDiv w:val="1"/>
      <w:marLeft w:val="0"/>
      <w:marRight w:val="0"/>
      <w:marTop w:val="0"/>
      <w:marBottom w:val="0"/>
      <w:divBdr>
        <w:top w:val="none" w:sz="0" w:space="0" w:color="auto"/>
        <w:left w:val="none" w:sz="0" w:space="0" w:color="auto"/>
        <w:bottom w:val="none" w:sz="0" w:space="0" w:color="auto"/>
        <w:right w:val="none" w:sz="0" w:space="0" w:color="auto"/>
      </w:divBdr>
    </w:div>
    <w:div w:id="847871488">
      <w:bodyDiv w:val="1"/>
      <w:marLeft w:val="0"/>
      <w:marRight w:val="0"/>
      <w:marTop w:val="0"/>
      <w:marBottom w:val="0"/>
      <w:divBdr>
        <w:top w:val="none" w:sz="0" w:space="0" w:color="auto"/>
        <w:left w:val="none" w:sz="0" w:space="0" w:color="auto"/>
        <w:bottom w:val="none" w:sz="0" w:space="0" w:color="auto"/>
        <w:right w:val="none" w:sz="0" w:space="0" w:color="auto"/>
      </w:divBdr>
    </w:div>
    <w:div w:id="1116488413">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academic-and-student-support" TargetMode="External"/><Relationship Id="rId18" Type="http://schemas.openxmlformats.org/officeDocument/2006/relationships/hyperlink" Target="https://www.bacp.co.uk/media/3103/bacp-ethical-framework-for-the-counselling-professions-2018.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hi.ac.uk/about-us/policies-and-statements/academic-and-student-support" TargetMode="External"/><Relationship Id="rId7" Type="http://schemas.openxmlformats.org/officeDocument/2006/relationships/settings" Target="settings.xml"/><Relationship Id="rId12" Type="http://schemas.openxmlformats.org/officeDocument/2006/relationships/hyperlink" Target="https://www.chi.ac.uk/about-us/policies-and-statements/academic-and-student-support" TargetMode="External"/><Relationship Id="rId17" Type="http://schemas.openxmlformats.org/officeDocument/2006/relationships/hyperlink" Target="https://www.chi.ac.uk/about-us/policies-and-statements/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i.ac.uk/about-us/policies-and-statements/academic-and-student-support" TargetMode="External"/><Relationship Id="rId20" Type="http://schemas.openxmlformats.org/officeDocument/2006/relationships/hyperlink" Target="https://www.chi.ac.uk/about-us/policies-and-statements/academic-and-student-sup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i.ac.uk/about-us/policies-and-statements/academic-and-student-support" TargetMode="External"/><Relationship Id="rId23" Type="http://schemas.openxmlformats.org/officeDocument/2006/relationships/hyperlink" Target="https://wellbeingreferral.chi.ac.u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mc.org.uk/globalassets/sitedocuments/nmc-publications/nmc-co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c.uk/about-us/policies-and-statements/academic-and-student-support" TargetMode="External"/><Relationship Id="rId22" Type="http://schemas.openxmlformats.org/officeDocument/2006/relationships/hyperlink" Target="https://www.chi.ac.uk/student-life/support-health-wellbeing/student-support-and-wellbeing-privacy-notic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maritans.org/documents/1762/Suicide_Stats_England_202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B7535"/>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168854c-7356-4a1d-a158-ef8a90b99e61"/>
    <ds:schemaRef ds:uri="http://www.w3.org/XML/1998/namespace"/>
    <ds:schemaRef ds:uri="http://purl.org/dc/dcmityp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915AF-5181-4922-97F4-2CDBC9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Vanessa Church</cp:lastModifiedBy>
  <cp:revision>2</cp:revision>
  <dcterms:created xsi:type="dcterms:W3CDTF">2023-02-09T16:06:00Z</dcterms:created>
  <dcterms:modified xsi:type="dcterms:W3CDTF">2023-02-09T16:06:00Z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