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D717CB" w14:paraId="0D206C02" w14:textId="77777777" w:rsidTr="00305DB6">
        <w:tc>
          <w:tcPr>
            <w:tcW w:w="1424" w:type="dxa"/>
          </w:tcPr>
          <w:p w14:paraId="5E81A376" w14:textId="77777777" w:rsidR="00D717CB" w:rsidRPr="005C342B" w:rsidRDefault="00D717CB" w:rsidP="00305DB6">
            <w:pPr>
              <w:rPr>
                <w:rFonts w:asciiTheme="minorHAnsi" w:hAnsiTheme="minorHAnsi" w:cstheme="minorHAnsi"/>
                <w:color w:val="262626" w:themeColor="text1" w:themeTint="D9"/>
                <w:sz w:val="16"/>
              </w:rPr>
            </w:pPr>
            <w:bookmarkStart w:id="0" w:name="_GoBack"/>
            <w:bookmarkEnd w:id="0"/>
            <w:r w:rsidRPr="005C342B">
              <w:rPr>
                <w:rFonts w:asciiTheme="minorHAnsi" w:hAnsiTheme="minorHAnsi" w:cstheme="minorHAnsi"/>
                <w:color w:val="262626" w:themeColor="text1" w:themeTint="D9"/>
                <w:sz w:val="16"/>
              </w:rPr>
              <w:t>Version number:</w:t>
            </w:r>
          </w:p>
        </w:tc>
        <w:sdt>
          <w:sdtPr>
            <w:rPr>
              <w:rFonts w:asciiTheme="minorHAnsi" w:hAnsiTheme="minorHAnsi" w:cstheme="minorHAnsi"/>
              <w:noProof/>
              <w:color w:val="262626" w:themeColor="text1" w:themeTint="D9"/>
              <w:sz w:val="16"/>
              <w:lang w:eastAsia="en-GB"/>
            </w:rPr>
            <w:id w:val="-1856027643"/>
            <w:placeholder>
              <w:docPart w:val="058417EF28EF4BEF8EEC3CABE527D34A"/>
            </w:placeholder>
            <w:text/>
          </w:sdtPr>
          <w:sdtEndPr/>
          <w:sdtContent>
            <w:tc>
              <w:tcPr>
                <w:tcW w:w="4111" w:type="dxa"/>
              </w:tcPr>
              <w:p w14:paraId="2E68C062" w14:textId="77777777" w:rsidR="00D717CB" w:rsidRPr="005C342B" w:rsidRDefault="00D717CB" w:rsidP="00305DB6">
                <w:pPr>
                  <w:rPr>
                    <w:rFonts w:asciiTheme="minorHAnsi" w:hAnsiTheme="minorHAnsi" w:cstheme="minorHAnsi"/>
                    <w:noProof/>
                    <w:color w:val="262626" w:themeColor="text1" w:themeTint="D9"/>
                    <w:sz w:val="16"/>
                    <w:lang w:eastAsia="en-GB"/>
                  </w:rPr>
                </w:pPr>
                <w:r>
                  <w:rPr>
                    <w:rFonts w:asciiTheme="minorHAnsi" w:hAnsiTheme="minorHAnsi" w:cstheme="minorHAnsi"/>
                    <w:noProof/>
                    <w:color w:val="262626" w:themeColor="text1" w:themeTint="D9"/>
                    <w:sz w:val="16"/>
                    <w:lang w:eastAsia="en-GB"/>
                  </w:rPr>
                  <w:t>v1</w:t>
                </w:r>
              </w:p>
            </w:tc>
          </w:sdtContent>
        </w:sdt>
        <w:tc>
          <w:tcPr>
            <w:tcW w:w="3827" w:type="dxa"/>
            <w:vMerge w:val="restart"/>
          </w:tcPr>
          <w:p w14:paraId="03A93344" w14:textId="77777777" w:rsidR="00D717CB" w:rsidRDefault="00D717CB" w:rsidP="00305DB6">
            <w:pPr>
              <w:jc w:val="right"/>
              <w:rPr>
                <w:rFonts w:asciiTheme="minorHAnsi" w:hAnsiTheme="minorHAnsi"/>
                <w:color w:val="262626" w:themeColor="text1" w:themeTint="D9"/>
              </w:rPr>
            </w:pPr>
            <w:r w:rsidRPr="00C52734">
              <w:rPr>
                <w:noProof/>
              </w:rPr>
              <w:drawing>
                <wp:inline distT="0" distB="0" distL="0" distR="0" wp14:anchorId="66FDEDA8" wp14:editId="369346AF">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1414" cy="815030"/>
                          </a:xfrm>
                          <a:prstGeom prst="rect">
                            <a:avLst/>
                          </a:prstGeom>
                        </pic:spPr>
                      </pic:pic>
                    </a:graphicData>
                  </a:graphic>
                </wp:inline>
              </w:drawing>
            </w:r>
          </w:p>
        </w:tc>
      </w:tr>
      <w:tr w:rsidR="00D717CB" w14:paraId="7894924F" w14:textId="77777777" w:rsidTr="00305DB6">
        <w:tc>
          <w:tcPr>
            <w:tcW w:w="1424" w:type="dxa"/>
          </w:tcPr>
          <w:p w14:paraId="2FDC33F6" w14:textId="77777777" w:rsidR="00D717CB" w:rsidRPr="005C342B" w:rsidRDefault="00D717CB" w:rsidP="00305DB6">
            <w:pPr>
              <w:rPr>
                <w:rFonts w:asciiTheme="minorHAnsi" w:hAnsiTheme="minorHAnsi" w:cstheme="minorHAnsi"/>
                <w:color w:val="262626" w:themeColor="text1" w:themeTint="D9"/>
                <w:sz w:val="16"/>
              </w:rPr>
            </w:pPr>
            <w:r w:rsidRPr="005C342B">
              <w:rPr>
                <w:rFonts w:asciiTheme="minorHAnsi" w:hAnsiTheme="minorHAnsi" w:cstheme="minorHAnsi"/>
                <w:color w:val="262626" w:themeColor="text1" w:themeTint="D9"/>
                <w:sz w:val="16"/>
              </w:rPr>
              <w:t>Policy owner:</w:t>
            </w:r>
          </w:p>
        </w:tc>
        <w:sdt>
          <w:sdtPr>
            <w:rPr>
              <w:rFonts w:asciiTheme="minorHAnsi" w:hAnsiTheme="minorHAnsi" w:cstheme="minorHAnsi"/>
              <w:color w:val="262626" w:themeColor="text1" w:themeTint="D9"/>
              <w:sz w:val="16"/>
            </w:rPr>
            <w:id w:val="871269591"/>
            <w:placeholder>
              <w:docPart w:val="60E54701537B45F183E40D8F01174BEB"/>
            </w:placeholder>
            <w:text/>
          </w:sdtPr>
          <w:sdtEndPr/>
          <w:sdtContent>
            <w:tc>
              <w:tcPr>
                <w:tcW w:w="4111" w:type="dxa"/>
              </w:tcPr>
              <w:p w14:paraId="2DC236CA" w14:textId="77777777" w:rsidR="00D717CB" w:rsidRPr="005C342B" w:rsidRDefault="00D717CB" w:rsidP="00305DB6">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Director of Finance</w:t>
                </w:r>
              </w:p>
            </w:tc>
          </w:sdtContent>
        </w:sdt>
        <w:tc>
          <w:tcPr>
            <w:tcW w:w="3827" w:type="dxa"/>
            <w:vMerge/>
          </w:tcPr>
          <w:p w14:paraId="0EBCB5BB" w14:textId="77777777" w:rsidR="00D717CB" w:rsidRDefault="00D717CB" w:rsidP="00305DB6">
            <w:pPr>
              <w:jc w:val="right"/>
              <w:rPr>
                <w:rFonts w:asciiTheme="minorHAnsi" w:hAnsiTheme="minorHAnsi"/>
                <w:color w:val="262626" w:themeColor="text1" w:themeTint="D9"/>
              </w:rPr>
            </w:pPr>
          </w:p>
        </w:tc>
      </w:tr>
      <w:tr w:rsidR="00D717CB" w14:paraId="592225F7" w14:textId="77777777" w:rsidTr="00305DB6">
        <w:tc>
          <w:tcPr>
            <w:tcW w:w="1424" w:type="dxa"/>
          </w:tcPr>
          <w:p w14:paraId="76BDD68F" w14:textId="77777777" w:rsidR="00D717CB" w:rsidRPr="005C342B" w:rsidRDefault="00D717CB" w:rsidP="00305DB6">
            <w:pPr>
              <w:rPr>
                <w:rFonts w:asciiTheme="minorHAnsi" w:hAnsiTheme="minorHAnsi" w:cstheme="minorHAnsi"/>
                <w:color w:val="262626" w:themeColor="text1" w:themeTint="D9"/>
                <w:sz w:val="16"/>
              </w:rPr>
            </w:pPr>
            <w:r w:rsidRPr="005C342B">
              <w:rPr>
                <w:rFonts w:asciiTheme="minorHAnsi" w:hAnsiTheme="minorHAnsi" w:cstheme="minorHAnsi"/>
                <w:color w:val="262626" w:themeColor="text1" w:themeTint="D9"/>
                <w:sz w:val="16"/>
              </w:rPr>
              <w:t>Effective date:</w:t>
            </w:r>
          </w:p>
        </w:tc>
        <w:sdt>
          <w:sdtPr>
            <w:rPr>
              <w:rFonts w:asciiTheme="minorHAnsi" w:hAnsiTheme="minorHAnsi" w:cstheme="minorHAnsi"/>
              <w:color w:val="262626" w:themeColor="text1" w:themeTint="D9"/>
              <w:sz w:val="16"/>
            </w:rPr>
            <w:id w:val="-320266801"/>
            <w:placeholder>
              <w:docPart w:val="3B47933408E94F229BE4907F350FC371"/>
            </w:placeholder>
            <w:date w:fullDate="2023-07-05T00:00:00Z">
              <w:dateFormat w:val="dd/MM/yyyy"/>
              <w:lid w:val="en-GB"/>
              <w:storeMappedDataAs w:val="dateTime"/>
              <w:calendar w:val="gregorian"/>
            </w:date>
          </w:sdtPr>
          <w:sdtEndPr/>
          <w:sdtContent>
            <w:tc>
              <w:tcPr>
                <w:tcW w:w="4111" w:type="dxa"/>
              </w:tcPr>
              <w:p w14:paraId="6BDD2182" w14:textId="79A3455B" w:rsidR="00D717CB" w:rsidRPr="005C342B" w:rsidRDefault="00D717CB" w:rsidP="00305DB6">
                <w:pPr>
                  <w:rPr>
                    <w:rFonts w:asciiTheme="minorHAnsi" w:hAnsiTheme="minorHAnsi" w:cstheme="minorHAnsi"/>
                    <w:color w:val="262626" w:themeColor="text1" w:themeTint="D9"/>
                    <w:sz w:val="16"/>
                  </w:rPr>
                </w:pPr>
                <w:r>
                  <w:rPr>
                    <w:rFonts w:asciiTheme="minorHAnsi" w:hAnsiTheme="minorHAnsi" w:cstheme="minorHAnsi"/>
                    <w:color w:val="262626" w:themeColor="text1" w:themeTint="D9"/>
                    <w:sz w:val="16"/>
                  </w:rPr>
                  <w:t>05/07/2023</w:t>
                </w:r>
              </w:p>
            </w:tc>
          </w:sdtContent>
        </w:sdt>
        <w:tc>
          <w:tcPr>
            <w:tcW w:w="3827" w:type="dxa"/>
            <w:vMerge/>
          </w:tcPr>
          <w:p w14:paraId="1D5B7848" w14:textId="77777777" w:rsidR="00D717CB" w:rsidRDefault="00D717CB" w:rsidP="00305DB6">
            <w:pPr>
              <w:jc w:val="right"/>
              <w:rPr>
                <w:rFonts w:asciiTheme="minorHAnsi" w:hAnsiTheme="minorHAnsi"/>
                <w:color w:val="262626" w:themeColor="text1" w:themeTint="D9"/>
              </w:rPr>
            </w:pPr>
          </w:p>
        </w:tc>
      </w:tr>
      <w:tr w:rsidR="00D717CB" w14:paraId="76138C65" w14:textId="77777777" w:rsidTr="00305DB6">
        <w:tc>
          <w:tcPr>
            <w:tcW w:w="1424" w:type="dxa"/>
          </w:tcPr>
          <w:p w14:paraId="0E175D55" w14:textId="77777777" w:rsidR="00D717CB" w:rsidRPr="00C5256A" w:rsidRDefault="00D717CB" w:rsidP="00305DB6">
            <w:pPr>
              <w:rPr>
                <w:rFonts w:asciiTheme="minorHAnsi" w:hAnsiTheme="minorHAnsi" w:cstheme="minorHAnsi"/>
                <w:color w:val="262626" w:themeColor="text1" w:themeTint="D9"/>
                <w:sz w:val="16"/>
              </w:rPr>
            </w:pPr>
            <w:r w:rsidRPr="00C5256A">
              <w:rPr>
                <w:rFonts w:asciiTheme="minorHAnsi" w:hAnsiTheme="minorHAnsi" w:cstheme="minorHAnsi"/>
                <w:color w:val="262626" w:themeColor="text1" w:themeTint="D9"/>
                <w:sz w:val="16"/>
              </w:rPr>
              <w:t>Review date:</w:t>
            </w:r>
          </w:p>
        </w:tc>
        <w:sdt>
          <w:sdtPr>
            <w:rPr>
              <w:rFonts w:asciiTheme="minorHAnsi" w:hAnsiTheme="minorHAnsi" w:cstheme="minorHAnsi"/>
              <w:color w:val="262626" w:themeColor="text1" w:themeTint="D9"/>
              <w:sz w:val="16"/>
            </w:rPr>
            <w:id w:val="545957396"/>
            <w:placeholder>
              <w:docPart w:val="B973040A4D924E47A0DB8F3A1954B411"/>
            </w:placeholder>
            <w:date w:fullDate="2028-06-13T00:00:00Z">
              <w:dateFormat w:val="dd/MM/yyyy"/>
              <w:lid w:val="en-GB"/>
              <w:storeMappedDataAs w:val="dateTime"/>
              <w:calendar w:val="gregorian"/>
            </w:date>
          </w:sdtPr>
          <w:sdtEndPr/>
          <w:sdtContent>
            <w:tc>
              <w:tcPr>
                <w:tcW w:w="4111" w:type="dxa"/>
              </w:tcPr>
              <w:p w14:paraId="31644F3C" w14:textId="77777777" w:rsidR="00D717CB" w:rsidRPr="005C342B" w:rsidRDefault="00D717CB" w:rsidP="00305DB6">
                <w:pPr>
                  <w:rPr>
                    <w:rFonts w:asciiTheme="minorHAnsi" w:hAnsiTheme="minorHAnsi" w:cstheme="minorHAnsi"/>
                    <w:color w:val="262626" w:themeColor="text1" w:themeTint="D9"/>
                    <w:sz w:val="16"/>
                  </w:rPr>
                </w:pPr>
                <w:r w:rsidRPr="00C5256A">
                  <w:rPr>
                    <w:rFonts w:asciiTheme="minorHAnsi" w:hAnsiTheme="minorHAnsi" w:cstheme="minorHAnsi"/>
                    <w:color w:val="262626" w:themeColor="text1" w:themeTint="D9"/>
                    <w:sz w:val="16"/>
                  </w:rPr>
                  <w:t>13/06/2028</w:t>
                </w:r>
              </w:p>
            </w:tc>
          </w:sdtContent>
        </w:sdt>
        <w:tc>
          <w:tcPr>
            <w:tcW w:w="3827" w:type="dxa"/>
            <w:vMerge/>
          </w:tcPr>
          <w:p w14:paraId="704083F7" w14:textId="77777777" w:rsidR="00D717CB" w:rsidRDefault="00D717CB" w:rsidP="00305DB6">
            <w:pPr>
              <w:jc w:val="right"/>
              <w:rPr>
                <w:rFonts w:asciiTheme="minorHAnsi" w:hAnsiTheme="minorHAnsi"/>
                <w:color w:val="262626" w:themeColor="text1" w:themeTint="D9"/>
              </w:rPr>
            </w:pPr>
          </w:p>
        </w:tc>
      </w:tr>
    </w:tbl>
    <w:p w14:paraId="3B1EEABB" w14:textId="77777777" w:rsidR="00777944" w:rsidRDefault="00777944">
      <w:pPr>
        <w:pStyle w:val="BodyText"/>
        <w:spacing w:before="3"/>
        <w:rPr>
          <w:rFonts w:ascii="Times New Roman"/>
        </w:rPr>
      </w:pPr>
    </w:p>
    <w:p w14:paraId="2C1FC993" w14:textId="398BDDE7" w:rsidR="00777944" w:rsidRDefault="00777944">
      <w:pPr>
        <w:pStyle w:val="BodyText"/>
        <w:ind w:left="6565"/>
        <w:rPr>
          <w:rFonts w:ascii="Times New Roman"/>
          <w:sz w:val="20"/>
        </w:rPr>
      </w:pPr>
    </w:p>
    <w:p w14:paraId="6E51BD7F" w14:textId="77777777" w:rsidR="00D717CB" w:rsidRDefault="00D717CB">
      <w:pPr>
        <w:spacing w:before="35"/>
        <w:ind w:right="146"/>
        <w:jc w:val="right"/>
        <w:rPr>
          <w:color w:val="252525"/>
          <w:sz w:val="32"/>
        </w:rPr>
      </w:pPr>
    </w:p>
    <w:p w14:paraId="30C2C701" w14:textId="50B3AA41" w:rsidR="00D717CB" w:rsidRDefault="00D717CB">
      <w:pPr>
        <w:spacing w:before="35"/>
        <w:ind w:right="146"/>
        <w:jc w:val="right"/>
        <w:rPr>
          <w:color w:val="252525"/>
          <w:sz w:val="32"/>
        </w:rPr>
      </w:pPr>
    </w:p>
    <w:p w14:paraId="1797733B" w14:textId="00226C70" w:rsidR="00D717CB" w:rsidRDefault="00D717CB">
      <w:pPr>
        <w:spacing w:before="35"/>
        <w:ind w:right="146"/>
        <w:jc w:val="right"/>
        <w:rPr>
          <w:color w:val="252525"/>
          <w:sz w:val="32"/>
        </w:rPr>
      </w:pPr>
    </w:p>
    <w:p w14:paraId="43A6C55A" w14:textId="6FEDDE2B" w:rsidR="00D717CB" w:rsidRDefault="00D717CB">
      <w:pPr>
        <w:spacing w:before="35"/>
        <w:ind w:right="146"/>
        <w:jc w:val="right"/>
        <w:rPr>
          <w:color w:val="252525"/>
          <w:sz w:val="32"/>
        </w:rPr>
      </w:pPr>
    </w:p>
    <w:p w14:paraId="137102FF" w14:textId="718CAF59" w:rsidR="00D717CB" w:rsidRDefault="00D717CB">
      <w:pPr>
        <w:spacing w:before="35"/>
        <w:ind w:right="146"/>
        <w:jc w:val="right"/>
        <w:rPr>
          <w:color w:val="252525"/>
          <w:sz w:val="32"/>
        </w:rPr>
      </w:pPr>
    </w:p>
    <w:p w14:paraId="3D2FEACF" w14:textId="724FDC3D" w:rsidR="00D717CB" w:rsidRDefault="00D717CB">
      <w:pPr>
        <w:spacing w:before="35"/>
        <w:ind w:right="146"/>
        <w:jc w:val="right"/>
        <w:rPr>
          <w:color w:val="252525"/>
          <w:sz w:val="32"/>
        </w:rPr>
      </w:pPr>
    </w:p>
    <w:p w14:paraId="7CC11694" w14:textId="77777777" w:rsidR="00D717CB" w:rsidRDefault="00D717CB">
      <w:pPr>
        <w:spacing w:before="35"/>
        <w:ind w:right="146"/>
        <w:jc w:val="right"/>
        <w:rPr>
          <w:color w:val="252525"/>
          <w:sz w:val="32"/>
        </w:rPr>
      </w:pPr>
    </w:p>
    <w:p w14:paraId="73F76C4D" w14:textId="77777777" w:rsidR="00777944" w:rsidRDefault="00632D37" w:rsidP="00D717CB">
      <w:pPr>
        <w:pStyle w:val="Title"/>
        <w:ind w:left="0"/>
        <w:jc w:val="center"/>
      </w:pPr>
      <w:r>
        <w:rPr>
          <w:color w:val="252525"/>
        </w:rPr>
        <w:t>Treasury Management</w:t>
      </w:r>
      <w:r>
        <w:rPr>
          <w:color w:val="252525"/>
          <w:spacing w:val="-12"/>
        </w:rPr>
        <w:t xml:space="preserve"> </w:t>
      </w:r>
      <w:r>
        <w:rPr>
          <w:color w:val="252525"/>
        </w:rPr>
        <w:t>Policy</w:t>
      </w:r>
    </w:p>
    <w:p w14:paraId="7602B936" w14:textId="77777777" w:rsidR="00777944" w:rsidRDefault="00777944">
      <w:pPr>
        <w:pStyle w:val="BodyText"/>
        <w:rPr>
          <w:b/>
          <w:sz w:val="48"/>
        </w:rPr>
      </w:pPr>
    </w:p>
    <w:p w14:paraId="6188348A" w14:textId="142F45B4" w:rsidR="00777944" w:rsidRDefault="00777944">
      <w:pPr>
        <w:pStyle w:val="BodyText"/>
        <w:rPr>
          <w:b/>
          <w:sz w:val="48"/>
        </w:rPr>
      </w:pPr>
    </w:p>
    <w:p w14:paraId="7491B9F8" w14:textId="1598460C" w:rsidR="008D21CF" w:rsidRDefault="008D21CF">
      <w:pPr>
        <w:pStyle w:val="BodyText"/>
        <w:rPr>
          <w:b/>
          <w:sz w:val="48"/>
        </w:rPr>
      </w:pPr>
    </w:p>
    <w:p w14:paraId="0DC40404" w14:textId="33DAD622" w:rsidR="008D21CF" w:rsidRDefault="008D21CF">
      <w:pPr>
        <w:pStyle w:val="BodyText"/>
        <w:rPr>
          <w:b/>
          <w:sz w:val="48"/>
        </w:rPr>
      </w:pPr>
    </w:p>
    <w:p w14:paraId="6D55B788" w14:textId="0C6ECCCD" w:rsidR="008D21CF" w:rsidRDefault="008D21CF">
      <w:pPr>
        <w:pStyle w:val="BodyText"/>
        <w:rPr>
          <w:b/>
          <w:sz w:val="48"/>
        </w:rPr>
      </w:pPr>
    </w:p>
    <w:p w14:paraId="11B399A2" w14:textId="3219A86E" w:rsidR="008D21CF" w:rsidRDefault="008D21CF">
      <w:pPr>
        <w:pStyle w:val="BodyText"/>
        <w:rPr>
          <w:b/>
          <w:sz w:val="48"/>
        </w:rPr>
      </w:pPr>
    </w:p>
    <w:p w14:paraId="1D5F4FDE" w14:textId="6C87AB32" w:rsidR="008D21CF" w:rsidRDefault="008D21CF">
      <w:pPr>
        <w:pStyle w:val="BodyText"/>
        <w:rPr>
          <w:b/>
          <w:sz w:val="48"/>
        </w:rPr>
      </w:pPr>
    </w:p>
    <w:p w14:paraId="2BBF9C2B" w14:textId="70D6F2F6" w:rsidR="008D21CF" w:rsidRDefault="008D21CF">
      <w:pPr>
        <w:pStyle w:val="BodyText"/>
        <w:rPr>
          <w:b/>
          <w:sz w:val="48"/>
        </w:rPr>
      </w:pPr>
    </w:p>
    <w:p w14:paraId="0133C34E" w14:textId="39D8253C" w:rsidR="008D21CF" w:rsidRDefault="008D21CF">
      <w:pPr>
        <w:pStyle w:val="BodyText"/>
        <w:rPr>
          <w:b/>
          <w:sz w:val="48"/>
        </w:rPr>
      </w:pPr>
    </w:p>
    <w:p w14:paraId="3419347B" w14:textId="45FF3524" w:rsidR="008D21CF" w:rsidRDefault="008D21CF">
      <w:pPr>
        <w:pStyle w:val="BodyText"/>
        <w:rPr>
          <w:b/>
          <w:sz w:val="48"/>
        </w:rPr>
      </w:pPr>
    </w:p>
    <w:p w14:paraId="6AA6737A" w14:textId="0EA90184" w:rsidR="008D21CF" w:rsidRDefault="008D21CF">
      <w:pPr>
        <w:pStyle w:val="BodyText"/>
        <w:rPr>
          <w:b/>
          <w:sz w:val="48"/>
        </w:rPr>
      </w:pPr>
    </w:p>
    <w:p w14:paraId="04ABD18A" w14:textId="4E925188" w:rsidR="008D21CF" w:rsidRDefault="008D21CF">
      <w:pPr>
        <w:pStyle w:val="BodyText"/>
        <w:rPr>
          <w:b/>
          <w:sz w:val="48"/>
        </w:rPr>
      </w:pPr>
    </w:p>
    <w:p w14:paraId="5E4EA34C" w14:textId="09DB9319" w:rsidR="008D21CF" w:rsidRDefault="008D21CF">
      <w:pPr>
        <w:pStyle w:val="BodyText"/>
        <w:rPr>
          <w:b/>
          <w:sz w:val="48"/>
        </w:rPr>
      </w:pPr>
    </w:p>
    <w:p w14:paraId="47A6DC8E" w14:textId="67680F72" w:rsidR="008D21CF" w:rsidRDefault="008D21CF">
      <w:pPr>
        <w:pStyle w:val="BodyText"/>
        <w:rPr>
          <w:b/>
          <w:sz w:val="48"/>
        </w:rPr>
      </w:pPr>
    </w:p>
    <w:p w14:paraId="1E257CC8" w14:textId="16398F62" w:rsidR="008D21CF" w:rsidRDefault="008D21CF">
      <w:pPr>
        <w:pStyle w:val="BodyText"/>
        <w:rPr>
          <w:b/>
          <w:sz w:val="48"/>
        </w:rPr>
      </w:pPr>
      <w:r>
        <w:rPr>
          <w:b/>
          <w:sz w:val="48"/>
        </w:rPr>
        <w:lastRenderedPageBreak/>
        <w:t>Table of Contents</w:t>
      </w:r>
    </w:p>
    <w:p w14:paraId="2B961C35" w14:textId="77777777" w:rsidR="008D21CF" w:rsidRDefault="008D21CF">
      <w:pPr>
        <w:pStyle w:val="BodyText"/>
        <w:rPr>
          <w:b/>
          <w:sz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53"/>
        <w:gridCol w:w="3340"/>
      </w:tblGrid>
      <w:tr w:rsidR="00CB62D6" w14:paraId="1DC28FB5" w14:textId="77777777" w:rsidTr="00CB62D6">
        <w:tc>
          <w:tcPr>
            <w:tcW w:w="2127" w:type="dxa"/>
          </w:tcPr>
          <w:p w14:paraId="5AA9BADA" w14:textId="79FFC243" w:rsidR="00CB62D6" w:rsidRPr="00CB62D6" w:rsidRDefault="00CB62D6" w:rsidP="00CB62D6">
            <w:pPr>
              <w:pStyle w:val="BodyText"/>
              <w:jc w:val="center"/>
              <w:rPr>
                <w:b/>
                <w:sz w:val="24"/>
                <w:szCs w:val="24"/>
              </w:rPr>
            </w:pPr>
            <w:r>
              <w:rPr>
                <w:b/>
                <w:sz w:val="24"/>
                <w:szCs w:val="24"/>
              </w:rPr>
              <w:t>Section</w:t>
            </w:r>
          </w:p>
          <w:p w14:paraId="44377753" w14:textId="65F7489E" w:rsidR="00CB62D6" w:rsidRPr="00CB62D6" w:rsidRDefault="00CB62D6" w:rsidP="00CB62D6">
            <w:pPr>
              <w:pStyle w:val="BodyText"/>
              <w:jc w:val="center"/>
              <w:rPr>
                <w:b/>
                <w:sz w:val="24"/>
                <w:szCs w:val="24"/>
              </w:rPr>
            </w:pPr>
          </w:p>
        </w:tc>
        <w:tc>
          <w:tcPr>
            <w:tcW w:w="4553" w:type="dxa"/>
          </w:tcPr>
          <w:p w14:paraId="1EE995DA" w14:textId="37CB6306" w:rsidR="00CB62D6" w:rsidRPr="00CB62D6" w:rsidRDefault="00CB62D6">
            <w:pPr>
              <w:pStyle w:val="BodyText"/>
              <w:rPr>
                <w:b/>
                <w:sz w:val="24"/>
                <w:szCs w:val="24"/>
              </w:rPr>
            </w:pPr>
            <w:r w:rsidRPr="00CB62D6">
              <w:rPr>
                <w:b/>
                <w:sz w:val="24"/>
                <w:szCs w:val="24"/>
              </w:rPr>
              <w:t>Title</w:t>
            </w:r>
          </w:p>
        </w:tc>
        <w:tc>
          <w:tcPr>
            <w:tcW w:w="3340" w:type="dxa"/>
          </w:tcPr>
          <w:p w14:paraId="022698DA" w14:textId="050831F4" w:rsidR="00CB62D6" w:rsidRPr="00CB62D6" w:rsidRDefault="00CB62D6" w:rsidP="00CB62D6">
            <w:pPr>
              <w:pStyle w:val="BodyText"/>
              <w:jc w:val="center"/>
              <w:rPr>
                <w:b/>
                <w:sz w:val="24"/>
                <w:szCs w:val="24"/>
              </w:rPr>
            </w:pPr>
            <w:r w:rsidRPr="00CB62D6">
              <w:rPr>
                <w:b/>
                <w:sz w:val="24"/>
                <w:szCs w:val="24"/>
              </w:rPr>
              <w:t>Page</w:t>
            </w:r>
          </w:p>
        </w:tc>
      </w:tr>
      <w:tr w:rsidR="00CB62D6" w14:paraId="2AA41A1D" w14:textId="77777777" w:rsidTr="00CB62D6">
        <w:tc>
          <w:tcPr>
            <w:tcW w:w="2127" w:type="dxa"/>
          </w:tcPr>
          <w:p w14:paraId="734954F4" w14:textId="1633D63F" w:rsidR="00CB62D6" w:rsidRPr="00CB62D6" w:rsidRDefault="00CB62D6" w:rsidP="00CB62D6">
            <w:pPr>
              <w:pStyle w:val="BodyText"/>
              <w:jc w:val="center"/>
              <w:rPr>
                <w:sz w:val="24"/>
                <w:szCs w:val="24"/>
              </w:rPr>
            </w:pPr>
            <w:r w:rsidRPr="00CB62D6">
              <w:rPr>
                <w:sz w:val="24"/>
                <w:szCs w:val="24"/>
              </w:rPr>
              <w:t>1</w:t>
            </w:r>
          </w:p>
        </w:tc>
        <w:tc>
          <w:tcPr>
            <w:tcW w:w="4553" w:type="dxa"/>
          </w:tcPr>
          <w:p w14:paraId="08C1A7C7" w14:textId="04AEA04A" w:rsidR="00CB62D6" w:rsidRPr="00CB62D6" w:rsidRDefault="00CB62D6">
            <w:pPr>
              <w:pStyle w:val="BodyText"/>
              <w:rPr>
                <w:b/>
                <w:sz w:val="24"/>
                <w:szCs w:val="24"/>
              </w:rPr>
            </w:pPr>
            <w:r w:rsidRPr="00CB62D6">
              <w:rPr>
                <w:b/>
                <w:sz w:val="24"/>
                <w:szCs w:val="24"/>
              </w:rPr>
              <w:t>Background</w:t>
            </w:r>
          </w:p>
        </w:tc>
        <w:tc>
          <w:tcPr>
            <w:tcW w:w="3340" w:type="dxa"/>
          </w:tcPr>
          <w:p w14:paraId="5F4D1178" w14:textId="5D5F49E6" w:rsidR="00CB62D6" w:rsidRPr="00CB62D6" w:rsidRDefault="00CB62D6" w:rsidP="00CB62D6">
            <w:pPr>
              <w:pStyle w:val="BodyText"/>
              <w:jc w:val="center"/>
              <w:rPr>
                <w:b/>
                <w:sz w:val="24"/>
                <w:szCs w:val="24"/>
              </w:rPr>
            </w:pPr>
            <w:r w:rsidRPr="00CB62D6">
              <w:rPr>
                <w:b/>
                <w:sz w:val="24"/>
                <w:szCs w:val="24"/>
              </w:rPr>
              <w:t>3</w:t>
            </w:r>
          </w:p>
        </w:tc>
      </w:tr>
      <w:tr w:rsidR="00CB62D6" w14:paraId="14F7FFEC" w14:textId="77777777" w:rsidTr="00CB62D6">
        <w:tc>
          <w:tcPr>
            <w:tcW w:w="2127" w:type="dxa"/>
          </w:tcPr>
          <w:p w14:paraId="748A8520" w14:textId="10A2B48D" w:rsidR="00CB62D6" w:rsidRPr="00CB62D6" w:rsidRDefault="00CB62D6" w:rsidP="00CB62D6">
            <w:pPr>
              <w:pStyle w:val="BodyText"/>
              <w:jc w:val="center"/>
              <w:rPr>
                <w:b/>
                <w:sz w:val="24"/>
                <w:szCs w:val="24"/>
              </w:rPr>
            </w:pPr>
            <w:r w:rsidRPr="00CB62D6">
              <w:rPr>
                <w:b/>
                <w:sz w:val="24"/>
                <w:szCs w:val="24"/>
              </w:rPr>
              <w:t>2</w:t>
            </w:r>
          </w:p>
        </w:tc>
        <w:tc>
          <w:tcPr>
            <w:tcW w:w="4553" w:type="dxa"/>
          </w:tcPr>
          <w:p w14:paraId="3DD6A307" w14:textId="01D12B73" w:rsidR="00CB62D6" w:rsidRPr="00CB62D6" w:rsidRDefault="00CB62D6">
            <w:pPr>
              <w:pStyle w:val="BodyText"/>
              <w:rPr>
                <w:b/>
                <w:sz w:val="24"/>
                <w:szCs w:val="24"/>
              </w:rPr>
            </w:pPr>
            <w:r w:rsidRPr="00CB62D6">
              <w:rPr>
                <w:b/>
                <w:sz w:val="24"/>
                <w:szCs w:val="24"/>
              </w:rPr>
              <w:t>Context</w:t>
            </w:r>
          </w:p>
        </w:tc>
        <w:tc>
          <w:tcPr>
            <w:tcW w:w="3340" w:type="dxa"/>
          </w:tcPr>
          <w:p w14:paraId="01221E7B" w14:textId="2A144E2B" w:rsidR="00CB62D6" w:rsidRPr="00CB62D6" w:rsidRDefault="00CB62D6" w:rsidP="00CB62D6">
            <w:pPr>
              <w:pStyle w:val="BodyText"/>
              <w:jc w:val="center"/>
              <w:rPr>
                <w:b/>
                <w:sz w:val="24"/>
                <w:szCs w:val="24"/>
              </w:rPr>
            </w:pPr>
            <w:r w:rsidRPr="00CB62D6">
              <w:rPr>
                <w:b/>
                <w:sz w:val="24"/>
                <w:szCs w:val="24"/>
              </w:rPr>
              <w:t>3</w:t>
            </w:r>
          </w:p>
        </w:tc>
      </w:tr>
      <w:tr w:rsidR="00CB62D6" w14:paraId="421F323F" w14:textId="77777777" w:rsidTr="00CB62D6">
        <w:tc>
          <w:tcPr>
            <w:tcW w:w="2127" w:type="dxa"/>
          </w:tcPr>
          <w:p w14:paraId="0921ACCC" w14:textId="659A4ED2" w:rsidR="00CB62D6" w:rsidRPr="00CB62D6" w:rsidRDefault="00CB62D6" w:rsidP="00CB62D6">
            <w:pPr>
              <w:pStyle w:val="BodyText"/>
              <w:jc w:val="center"/>
              <w:rPr>
                <w:b/>
                <w:sz w:val="24"/>
                <w:szCs w:val="24"/>
              </w:rPr>
            </w:pPr>
            <w:r w:rsidRPr="00CB62D6">
              <w:rPr>
                <w:b/>
                <w:sz w:val="24"/>
                <w:szCs w:val="24"/>
              </w:rPr>
              <w:t>3</w:t>
            </w:r>
          </w:p>
        </w:tc>
        <w:tc>
          <w:tcPr>
            <w:tcW w:w="4553" w:type="dxa"/>
          </w:tcPr>
          <w:p w14:paraId="1FA4D03A" w14:textId="06C76257" w:rsidR="00CB62D6" w:rsidRPr="00CB62D6" w:rsidRDefault="00CB62D6">
            <w:pPr>
              <w:pStyle w:val="BodyText"/>
              <w:rPr>
                <w:b/>
                <w:sz w:val="24"/>
                <w:szCs w:val="24"/>
              </w:rPr>
            </w:pPr>
            <w:r w:rsidRPr="00CB62D6">
              <w:rPr>
                <w:b/>
                <w:sz w:val="24"/>
                <w:szCs w:val="24"/>
              </w:rPr>
              <w:t>Treasury Management</w:t>
            </w:r>
          </w:p>
        </w:tc>
        <w:tc>
          <w:tcPr>
            <w:tcW w:w="3340" w:type="dxa"/>
          </w:tcPr>
          <w:p w14:paraId="6BEEC597" w14:textId="680781B0" w:rsidR="00CB62D6" w:rsidRPr="00CB62D6" w:rsidRDefault="00CB62D6" w:rsidP="00CB62D6">
            <w:pPr>
              <w:pStyle w:val="BodyText"/>
              <w:jc w:val="center"/>
              <w:rPr>
                <w:b/>
                <w:sz w:val="24"/>
                <w:szCs w:val="24"/>
              </w:rPr>
            </w:pPr>
            <w:r w:rsidRPr="00CB62D6">
              <w:rPr>
                <w:b/>
                <w:sz w:val="24"/>
                <w:szCs w:val="24"/>
              </w:rPr>
              <w:t>3</w:t>
            </w:r>
          </w:p>
        </w:tc>
      </w:tr>
      <w:tr w:rsidR="00CB62D6" w14:paraId="75A3EB58" w14:textId="77777777" w:rsidTr="00CB62D6">
        <w:tc>
          <w:tcPr>
            <w:tcW w:w="2127" w:type="dxa"/>
          </w:tcPr>
          <w:p w14:paraId="41D76AD6" w14:textId="03073461" w:rsidR="00CB62D6" w:rsidRPr="00CB62D6" w:rsidRDefault="00CB62D6" w:rsidP="00CB62D6">
            <w:pPr>
              <w:pStyle w:val="BodyText"/>
              <w:jc w:val="center"/>
              <w:rPr>
                <w:b/>
                <w:sz w:val="24"/>
                <w:szCs w:val="24"/>
              </w:rPr>
            </w:pPr>
            <w:r w:rsidRPr="00CB62D6">
              <w:rPr>
                <w:b/>
                <w:sz w:val="24"/>
                <w:szCs w:val="24"/>
              </w:rPr>
              <w:t>4</w:t>
            </w:r>
          </w:p>
        </w:tc>
        <w:tc>
          <w:tcPr>
            <w:tcW w:w="4553" w:type="dxa"/>
          </w:tcPr>
          <w:p w14:paraId="544EF530" w14:textId="3BBB10DD" w:rsidR="00CB62D6" w:rsidRPr="00CB62D6" w:rsidRDefault="00CB62D6">
            <w:pPr>
              <w:pStyle w:val="BodyText"/>
              <w:rPr>
                <w:b/>
                <w:sz w:val="24"/>
                <w:szCs w:val="24"/>
              </w:rPr>
            </w:pPr>
            <w:r w:rsidRPr="00CB62D6">
              <w:rPr>
                <w:b/>
                <w:sz w:val="24"/>
                <w:szCs w:val="24"/>
              </w:rPr>
              <w:t>Liquidity</w:t>
            </w:r>
          </w:p>
        </w:tc>
        <w:tc>
          <w:tcPr>
            <w:tcW w:w="3340" w:type="dxa"/>
          </w:tcPr>
          <w:p w14:paraId="002A6651" w14:textId="1282BC97" w:rsidR="00CB62D6" w:rsidRPr="00CB62D6" w:rsidRDefault="00CB62D6" w:rsidP="00CB62D6">
            <w:pPr>
              <w:pStyle w:val="BodyText"/>
              <w:jc w:val="center"/>
              <w:rPr>
                <w:b/>
                <w:sz w:val="24"/>
                <w:szCs w:val="24"/>
              </w:rPr>
            </w:pPr>
            <w:r w:rsidRPr="00CB62D6">
              <w:rPr>
                <w:b/>
                <w:sz w:val="24"/>
                <w:szCs w:val="24"/>
              </w:rPr>
              <w:t>5</w:t>
            </w:r>
          </w:p>
        </w:tc>
      </w:tr>
      <w:tr w:rsidR="00CB62D6" w14:paraId="496504B8" w14:textId="77777777" w:rsidTr="00CB62D6">
        <w:tc>
          <w:tcPr>
            <w:tcW w:w="2127" w:type="dxa"/>
          </w:tcPr>
          <w:p w14:paraId="2C887879" w14:textId="558BE500" w:rsidR="00CB62D6" w:rsidRPr="00CB62D6" w:rsidRDefault="00CB62D6" w:rsidP="00CB62D6">
            <w:pPr>
              <w:pStyle w:val="BodyText"/>
              <w:jc w:val="center"/>
              <w:rPr>
                <w:b/>
                <w:sz w:val="24"/>
                <w:szCs w:val="24"/>
              </w:rPr>
            </w:pPr>
            <w:r w:rsidRPr="00CB62D6">
              <w:rPr>
                <w:b/>
                <w:sz w:val="24"/>
                <w:szCs w:val="24"/>
              </w:rPr>
              <w:t>5</w:t>
            </w:r>
          </w:p>
        </w:tc>
        <w:tc>
          <w:tcPr>
            <w:tcW w:w="4553" w:type="dxa"/>
          </w:tcPr>
          <w:p w14:paraId="320C1B09" w14:textId="4DBB0A25" w:rsidR="00CB62D6" w:rsidRPr="00CB62D6" w:rsidRDefault="00CB62D6">
            <w:pPr>
              <w:pStyle w:val="BodyText"/>
              <w:rPr>
                <w:b/>
                <w:sz w:val="24"/>
                <w:szCs w:val="24"/>
              </w:rPr>
            </w:pPr>
            <w:r w:rsidRPr="00CB62D6">
              <w:rPr>
                <w:b/>
                <w:sz w:val="24"/>
                <w:szCs w:val="24"/>
              </w:rPr>
              <w:t>Cash and Cashflow Management</w:t>
            </w:r>
          </w:p>
        </w:tc>
        <w:tc>
          <w:tcPr>
            <w:tcW w:w="3340" w:type="dxa"/>
          </w:tcPr>
          <w:p w14:paraId="0A82723B" w14:textId="6A7C41E8" w:rsidR="00CB62D6" w:rsidRPr="00CB62D6" w:rsidRDefault="00CB62D6" w:rsidP="00CB62D6">
            <w:pPr>
              <w:pStyle w:val="BodyText"/>
              <w:jc w:val="center"/>
              <w:rPr>
                <w:b/>
                <w:sz w:val="24"/>
                <w:szCs w:val="24"/>
              </w:rPr>
            </w:pPr>
            <w:r w:rsidRPr="00CB62D6">
              <w:rPr>
                <w:b/>
                <w:sz w:val="24"/>
                <w:szCs w:val="24"/>
              </w:rPr>
              <w:t>5</w:t>
            </w:r>
          </w:p>
        </w:tc>
      </w:tr>
      <w:tr w:rsidR="00CB62D6" w14:paraId="246D26F0" w14:textId="77777777" w:rsidTr="00CB62D6">
        <w:tc>
          <w:tcPr>
            <w:tcW w:w="2127" w:type="dxa"/>
          </w:tcPr>
          <w:p w14:paraId="4372E507" w14:textId="3BF9586B" w:rsidR="00CB62D6" w:rsidRPr="00CB62D6" w:rsidRDefault="00CB62D6" w:rsidP="00CB62D6">
            <w:pPr>
              <w:pStyle w:val="BodyText"/>
              <w:jc w:val="center"/>
              <w:rPr>
                <w:b/>
                <w:sz w:val="24"/>
                <w:szCs w:val="24"/>
              </w:rPr>
            </w:pPr>
            <w:r w:rsidRPr="00CB62D6">
              <w:rPr>
                <w:b/>
                <w:sz w:val="24"/>
                <w:szCs w:val="24"/>
              </w:rPr>
              <w:t>6</w:t>
            </w:r>
          </w:p>
        </w:tc>
        <w:tc>
          <w:tcPr>
            <w:tcW w:w="4553" w:type="dxa"/>
          </w:tcPr>
          <w:p w14:paraId="6ADFC1FB" w14:textId="55EAE045" w:rsidR="00CB62D6" w:rsidRPr="00CB62D6" w:rsidRDefault="00CB62D6">
            <w:pPr>
              <w:pStyle w:val="BodyText"/>
              <w:rPr>
                <w:b/>
                <w:sz w:val="24"/>
                <w:szCs w:val="24"/>
              </w:rPr>
            </w:pPr>
            <w:r w:rsidRPr="00CB62D6">
              <w:rPr>
                <w:b/>
                <w:sz w:val="24"/>
                <w:szCs w:val="24"/>
              </w:rPr>
              <w:t>Responsibilities and Reporting</w:t>
            </w:r>
          </w:p>
        </w:tc>
        <w:tc>
          <w:tcPr>
            <w:tcW w:w="3340" w:type="dxa"/>
          </w:tcPr>
          <w:p w14:paraId="29C923BF" w14:textId="1B80F9DF" w:rsidR="00CB62D6" w:rsidRPr="00CB62D6" w:rsidRDefault="00CB62D6" w:rsidP="00CB62D6">
            <w:pPr>
              <w:pStyle w:val="BodyText"/>
              <w:jc w:val="center"/>
              <w:rPr>
                <w:b/>
                <w:sz w:val="24"/>
                <w:szCs w:val="24"/>
              </w:rPr>
            </w:pPr>
            <w:r w:rsidRPr="00CB62D6">
              <w:rPr>
                <w:b/>
                <w:sz w:val="24"/>
                <w:szCs w:val="24"/>
              </w:rPr>
              <w:t>6</w:t>
            </w:r>
          </w:p>
        </w:tc>
      </w:tr>
      <w:tr w:rsidR="00CB62D6" w14:paraId="38D3A397" w14:textId="77777777" w:rsidTr="00CB62D6">
        <w:tc>
          <w:tcPr>
            <w:tcW w:w="2127" w:type="dxa"/>
          </w:tcPr>
          <w:p w14:paraId="0A7B82C8" w14:textId="3DFEA971" w:rsidR="00CB62D6" w:rsidRPr="00CB62D6" w:rsidRDefault="00CB62D6" w:rsidP="00CB62D6">
            <w:pPr>
              <w:pStyle w:val="BodyText"/>
              <w:jc w:val="center"/>
              <w:rPr>
                <w:b/>
                <w:sz w:val="24"/>
                <w:szCs w:val="24"/>
              </w:rPr>
            </w:pPr>
            <w:r w:rsidRPr="00CB62D6">
              <w:rPr>
                <w:b/>
                <w:sz w:val="24"/>
                <w:szCs w:val="24"/>
              </w:rPr>
              <w:t>7</w:t>
            </w:r>
          </w:p>
        </w:tc>
        <w:tc>
          <w:tcPr>
            <w:tcW w:w="4553" w:type="dxa"/>
          </w:tcPr>
          <w:p w14:paraId="16AB1FBC" w14:textId="7701AE4A" w:rsidR="00CB62D6" w:rsidRPr="00CB62D6" w:rsidRDefault="00CB62D6">
            <w:pPr>
              <w:pStyle w:val="BodyText"/>
              <w:rPr>
                <w:b/>
                <w:sz w:val="24"/>
                <w:szCs w:val="24"/>
              </w:rPr>
            </w:pPr>
            <w:r w:rsidRPr="00CB62D6">
              <w:rPr>
                <w:b/>
                <w:sz w:val="24"/>
                <w:szCs w:val="24"/>
              </w:rPr>
              <w:t>Staff Training and Responsibilities</w:t>
            </w:r>
          </w:p>
        </w:tc>
        <w:tc>
          <w:tcPr>
            <w:tcW w:w="3340" w:type="dxa"/>
          </w:tcPr>
          <w:p w14:paraId="3F54F1F9" w14:textId="16883ACE" w:rsidR="00CB62D6" w:rsidRPr="00CB62D6" w:rsidRDefault="00CB62D6" w:rsidP="00CB62D6">
            <w:pPr>
              <w:pStyle w:val="BodyText"/>
              <w:jc w:val="center"/>
              <w:rPr>
                <w:b/>
                <w:sz w:val="24"/>
                <w:szCs w:val="24"/>
              </w:rPr>
            </w:pPr>
            <w:r w:rsidRPr="00CB62D6">
              <w:rPr>
                <w:b/>
                <w:sz w:val="24"/>
                <w:szCs w:val="24"/>
              </w:rPr>
              <w:t>7</w:t>
            </w:r>
          </w:p>
        </w:tc>
      </w:tr>
      <w:tr w:rsidR="00CB62D6" w14:paraId="19C0CAC2" w14:textId="77777777" w:rsidTr="00CB62D6">
        <w:tc>
          <w:tcPr>
            <w:tcW w:w="2127" w:type="dxa"/>
          </w:tcPr>
          <w:p w14:paraId="2A37B24C" w14:textId="55B704DE" w:rsidR="00CB62D6" w:rsidRPr="00CB62D6" w:rsidRDefault="00CB62D6" w:rsidP="00CB62D6">
            <w:pPr>
              <w:pStyle w:val="BodyText"/>
              <w:jc w:val="center"/>
              <w:rPr>
                <w:b/>
                <w:sz w:val="24"/>
                <w:szCs w:val="24"/>
              </w:rPr>
            </w:pPr>
            <w:r w:rsidRPr="00CB62D6">
              <w:rPr>
                <w:b/>
                <w:sz w:val="24"/>
                <w:szCs w:val="24"/>
              </w:rPr>
              <w:t>8</w:t>
            </w:r>
          </w:p>
        </w:tc>
        <w:tc>
          <w:tcPr>
            <w:tcW w:w="4553" w:type="dxa"/>
          </w:tcPr>
          <w:p w14:paraId="51AE85CF" w14:textId="24B3F423" w:rsidR="00CB62D6" w:rsidRPr="00CB62D6" w:rsidRDefault="00CB62D6">
            <w:pPr>
              <w:pStyle w:val="BodyText"/>
              <w:rPr>
                <w:b/>
                <w:sz w:val="24"/>
                <w:szCs w:val="24"/>
              </w:rPr>
            </w:pPr>
            <w:r w:rsidRPr="00CB62D6">
              <w:rPr>
                <w:b/>
                <w:sz w:val="24"/>
                <w:szCs w:val="24"/>
              </w:rPr>
              <w:t>Use of External Service Suppliers</w:t>
            </w:r>
          </w:p>
        </w:tc>
        <w:tc>
          <w:tcPr>
            <w:tcW w:w="3340" w:type="dxa"/>
          </w:tcPr>
          <w:p w14:paraId="35BFCA4D" w14:textId="65342953" w:rsidR="00CB62D6" w:rsidRPr="00CB62D6" w:rsidRDefault="00CB62D6" w:rsidP="00CB62D6">
            <w:pPr>
              <w:pStyle w:val="BodyText"/>
              <w:jc w:val="center"/>
              <w:rPr>
                <w:b/>
                <w:sz w:val="24"/>
                <w:szCs w:val="24"/>
              </w:rPr>
            </w:pPr>
            <w:r w:rsidRPr="00CB62D6">
              <w:rPr>
                <w:b/>
                <w:sz w:val="24"/>
                <w:szCs w:val="24"/>
              </w:rPr>
              <w:t>8</w:t>
            </w:r>
          </w:p>
        </w:tc>
      </w:tr>
      <w:tr w:rsidR="00CB62D6" w14:paraId="439AC0D9" w14:textId="77777777" w:rsidTr="00CB62D6">
        <w:tc>
          <w:tcPr>
            <w:tcW w:w="2127" w:type="dxa"/>
          </w:tcPr>
          <w:p w14:paraId="54AADCB7" w14:textId="22E511B6" w:rsidR="00CB62D6" w:rsidRPr="00CB62D6" w:rsidRDefault="00CB62D6" w:rsidP="00CB62D6">
            <w:pPr>
              <w:pStyle w:val="BodyText"/>
              <w:jc w:val="center"/>
              <w:rPr>
                <w:b/>
                <w:sz w:val="24"/>
                <w:szCs w:val="24"/>
              </w:rPr>
            </w:pPr>
            <w:r w:rsidRPr="00CB62D6">
              <w:rPr>
                <w:b/>
                <w:sz w:val="24"/>
                <w:szCs w:val="24"/>
              </w:rPr>
              <w:t>9</w:t>
            </w:r>
          </w:p>
        </w:tc>
        <w:tc>
          <w:tcPr>
            <w:tcW w:w="4553" w:type="dxa"/>
          </w:tcPr>
          <w:p w14:paraId="39E22A61" w14:textId="5601E19A" w:rsidR="00CB62D6" w:rsidRPr="00CB62D6" w:rsidRDefault="00CB62D6">
            <w:pPr>
              <w:pStyle w:val="BodyText"/>
              <w:rPr>
                <w:b/>
                <w:sz w:val="24"/>
                <w:szCs w:val="24"/>
              </w:rPr>
            </w:pPr>
            <w:r w:rsidRPr="00CB62D6">
              <w:rPr>
                <w:b/>
                <w:sz w:val="24"/>
                <w:szCs w:val="24"/>
              </w:rPr>
              <w:t>Anti-Money Laundering</w:t>
            </w:r>
          </w:p>
        </w:tc>
        <w:tc>
          <w:tcPr>
            <w:tcW w:w="3340" w:type="dxa"/>
          </w:tcPr>
          <w:p w14:paraId="3480932C" w14:textId="48E53488" w:rsidR="00CB62D6" w:rsidRPr="00CB62D6" w:rsidRDefault="00CB62D6" w:rsidP="00CB62D6">
            <w:pPr>
              <w:pStyle w:val="BodyText"/>
              <w:jc w:val="center"/>
              <w:rPr>
                <w:b/>
                <w:sz w:val="24"/>
                <w:szCs w:val="24"/>
              </w:rPr>
            </w:pPr>
            <w:r w:rsidRPr="00CB62D6">
              <w:rPr>
                <w:b/>
                <w:sz w:val="24"/>
                <w:szCs w:val="24"/>
              </w:rPr>
              <w:t>8</w:t>
            </w:r>
          </w:p>
        </w:tc>
      </w:tr>
      <w:tr w:rsidR="00CB62D6" w14:paraId="75E7E981" w14:textId="77777777" w:rsidTr="00CB62D6">
        <w:tc>
          <w:tcPr>
            <w:tcW w:w="2127" w:type="dxa"/>
          </w:tcPr>
          <w:p w14:paraId="492C34CB" w14:textId="60D54EF6" w:rsidR="00CB62D6" w:rsidRPr="00CB62D6" w:rsidRDefault="00CB62D6" w:rsidP="00CB62D6">
            <w:pPr>
              <w:pStyle w:val="BodyText"/>
              <w:jc w:val="center"/>
              <w:rPr>
                <w:b/>
                <w:sz w:val="24"/>
                <w:szCs w:val="24"/>
              </w:rPr>
            </w:pPr>
            <w:r w:rsidRPr="00CB62D6">
              <w:rPr>
                <w:b/>
                <w:sz w:val="24"/>
                <w:szCs w:val="24"/>
              </w:rPr>
              <w:t>10</w:t>
            </w:r>
          </w:p>
        </w:tc>
        <w:tc>
          <w:tcPr>
            <w:tcW w:w="4553" w:type="dxa"/>
          </w:tcPr>
          <w:p w14:paraId="3FF22850" w14:textId="5F0B35DD" w:rsidR="00CB62D6" w:rsidRPr="00CB62D6" w:rsidRDefault="00CB62D6">
            <w:pPr>
              <w:pStyle w:val="BodyText"/>
              <w:rPr>
                <w:b/>
                <w:sz w:val="24"/>
                <w:szCs w:val="24"/>
              </w:rPr>
            </w:pPr>
            <w:r w:rsidRPr="00CB62D6">
              <w:rPr>
                <w:b/>
                <w:sz w:val="24"/>
                <w:szCs w:val="24"/>
              </w:rPr>
              <w:t>Subsidiary Companies</w:t>
            </w:r>
          </w:p>
        </w:tc>
        <w:tc>
          <w:tcPr>
            <w:tcW w:w="3340" w:type="dxa"/>
          </w:tcPr>
          <w:p w14:paraId="4801535D" w14:textId="4C1E4F14" w:rsidR="00CB62D6" w:rsidRPr="00CB62D6" w:rsidRDefault="00CB62D6" w:rsidP="00CB62D6">
            <w:pPr>
              <w:pStyle w:val="BodyText"/>
              <w:jc w:val="center"/>
              <w:rPr>
                <w:b/>
                <w:sz w:val="24"/>
                <w:szCs w:val="24"/>
              </w:rPr>
            </w:pPr>
            <w:r w:rsidRPr="00CB62D6">
              <w:rPr>
                <w:b/>
                <w:sz w:val="24"/>
                <w:szCs w:val="24"/>
              </w:rPr>
              <w:t>8</w:t>
            </w:r>
          </w:p>
        </w:tc>
      </w:tr>
      <w:tr w:rsidR="00CB62D6" w14:paraId="1FBDB93C" w14:textId="77777777" w:rsidTr="00CB62D6">
        <w:tc>
          <w:tcPr>
            <w:tcW w:w="2127" w:type="dxa"/>
          </w:tcPr>
          <w:p w14:paraId="30B7EBF8" w14:textId="4E2C2101" w:rsidR="00CB62D6" w:rsidRPr="00CB62D6" w:rsidRDefault="006572B9" w:rsidP="006572B9">
            <w:pPr>
              <w:pStyle w:val="BodyText"/>
              <w:jc w:val="center"/>
              <w:rPr>
                <w:b/>
                <w:sz w:val="24"/>
                <w:szCs w:val="24"/>
              </w:rPr>
            </w:pPr>
            <w:r>
              <w:rPr>
                <w:b/>
                <w:sz w:val="24"/>
                <w:szCs w:val="24"/>
              </w:rPr>
              <w:t>11</w:t>
            </w:r>
          </w:p>
        </w:tc>
        <w:tc>
          <w:tcPr>
            <w:tcW w:w="4553" w:type="dxa"/>
          </w:tcPr>
          <w:p w14:paraId="381350F0" w14:textId="77777777" w:rsidR="00CB62D6" w:rsidRPr="00CB62D6" w:rsidRDefault="00CB62D6" w:rsidP="00CB62D6">
            <w:pPr>
              <w:pStyle w:val="Heading1"/>
              <w:spacing w:before="41"/>
              <w:ind w:left="0"/>
            </w:pPr>
            <w:r w:rsidRPr="00CB62D6">
              <w:rPr>
                <w:color w:val="252525"/>
              </w:rPr>
              <w:t>Schedule of Short-Term Investment Criteria</w:t>
            </w:r>
          </w:p>
          <w:p w14:paraId="1AE44D35" w14:textId="77777777" w:rsidR="00CB62D6" w:rsidRPr="00CB62D6" w:rsidRDefault="00CB62D6">
            <w:pPr>
              <w:pStyle w:val="BodyText"/>
              <w:rPr>
                <w:b/>
                <w:sz w:val="24"/>
                <w:szCs w:val="24"/>
              </w:rPr>
            </w:pPr>
          </w:p>
        </w:tc>
        <w:tc>
          <w:tcPr>
            <w:tcW w:w="3340" w:type="dxa"/>
          </w:tcPr>
          <w:p w14:paraId="4372A200" w14:textId="5814EB37" w:rsidR="00CB62D6" w:rsidRPr="00CB62D6" w:rsidRDefault="00CB62D6" w:rsidP="00CB62D6">
            <w:pPr>
              <w:pStyle w:val="BodyText"/>
              <w:jc w:val="center"/>
              <w:rPr>
                <w:b/>
                <w:sz w:val="24"/>
                <w:szCs w:val="24"/>
              </w:rPr>
            </w:pPr>
            <w:r w:rsidRPr="00CB62D6">
              <w:rPr>
                <w:b/>
                <w:sz w:val="24"/>
                <w:szCs w:val="24"/>
              </w:rPr>
              <w:t>8</w:t>
            </w:r>
          </w:p>
        </w:tc>
      </w:tr>
    </w:tbl>
    <w:p w14:paraId="41548FF0" w14:textId="77777777" w:rsidR="00777944" w:rsidRDefault="00777944">
      <w:pPr>
        <w:pStyle w:val="BodyText"/>
        <w:rPr>
          <w:b/>
          <w:sz w:val="48"/>
        </w:rPr>
      </w:pPr>
    </w:p>
    <w:p w14:paraId="6422C30D" w14:textId="77777777" w:rsidR="00777944" w:rsidRDefault="00777944">
      <w:pPr>
        <w:pStyle w:val="BodyText"/>
        <w:rPr>
          <w:b/>
          <w:sz w:val="48"/>
        </w:rPr>
      </w:pPr>
    </w:p>
    <w:p w14:paraId="24A1B3E6" w14:textId="77777777" w:rsidR="00777944" w:rsidRDefault="00777944">
      <w:pPr>
        <w:pStyle w:val="BodyText"/>
        <w:rPr>
          <w:b/>
          <w:sz w:val="48"/>
        </w:rPr>
      </w:pPr>
    </w:p>
    <w:p w14:paraId="6A7F40CA" w14:textId="77777777" w:rsidR="00777944" w:rsidRDefault="00777944">
      <w:pPr>
        <w:pStyle w:val="BodyText"/>
        <w:rPr>
          <w:b/>
          <w:sz w:val="48"/>
        </w:rPr>
      </w:pPr>
    </w:p>
    <w:p w14:paraId="2EE5751A" w14:textId="77777777" w:rsidR="00777944" w:rsidRDefault="00777944">
      <w:pPr>
        <w:pStyle w:val="BodyText"/>
        <w:rPr>
          <w:b/>
          <w:sz w:val="48"/>
        </w:rPr>
      </w:pPr>
    </w:p>
    <w:p w14:paraId="33CA399E" w14:textId="77777777" w:rsidR="00777944" w:rsidRDefault="00777944">
      <w:pPr>
        <w:pStyle w:val="BodyText"/>
        <w:rPr>
          <w:b/>
          <w:sz w:val="48"/>
        </w:rPr>
      </w:pPr>
    </w:p>
    <w:p w14:paraId="5E131AEB" w14:textId="18CA64CD" w:rsidR="00777944" w:rsidRDefault="00777944"/>
    <w:p w14:paraId="2789BD54" w14:textId="6A310379" w:rsidR="00404403" w:rsidRDefault="00404403"/>
    <w:p w14:paraId="755F2F7E" w14:textId="5FADDC3F" w:rsidR="00404403" w:rsidRDefault="00404403"/>
    <w:p w14:paraId="2BE7573F" w14:textId="77777777" w:rsidR="00404403" w:rsidRDefault="00404403"/>
    <w:p w14:paraId="1DFCA2FB" w14:textId="77777777" w:rsidR="00814AC4" w:rsidRDefault="00814AC4"/>
    <w:p w14:paraId="00054976" w14:textId="77777777" w:rsidR="00814AC4" w:rsidRDefault="00814AC4"/>
    <w:p w14:paraId="15238B0C" w14:textId="77777777" w:rsidR="00814AC4" w:rsidRDefault="00814AC4"/>
    <w:p w14:paraId="0F9A0954" w14:textId="77777777" w:rsidR="00814AC4" w:rsidRDefault="00814AC4">
      <w:pPr>
        <w:sectPr w:rsidR="00814AC4">
          <w:footerReference w:type="default" r:id="rId9"/>
          <w:type w:val="continuous"/>
          <w:pgSz w:w="11910" w:h="16840"/>
          <w:pgMar w:top="1580" w:right="900" w:bottom="1360" w:left="980" w:header="720" w:footer="1172" w:gutter="0"/>
          <w:pgNumType w:start="1"/>
          <w:cols w:space="720"/>
        </w:sectPr>
      </w:pPr>
    </w:p>
    <w:p w14:paraId="2364974F" w14:textId="2C0CC37F" w:rsidR="00777944" w:rsidRPr="00526789" w:rsidRDefault="00632D37" w:rsidP="00526789">
      <w:pPr>
        <w:pStyle w:val="ListParagraph"/>
        <w:numPr>
          <w:ilvl w:val="0"/>
          <w:numId w:val="14"/>
        </w:numPr>
        <w:spacing w:before="0" w:after="120"/>
        <w:ind w:left="850" w:hanging="754"/>
        <w:rPr>
          <w:b/>
          <w:sz w:val="24"/>
        </w:rPr>
      </w:pPr>
      <w:r w:rsidRPr="00526789">
        <w:rPr>
          <w:b/>
          <w:color w:val="252525"/>
          <w:sz w:val="24"/>
        </w:rPr>
        <w:lastRenderedPageBreak/>
        <w:t>Background</w:t>
      </w:r>
    </w:p>
    <w:p w14:paraId="650D8997" w14:textId="77777777" w:rsidR="00777944" w:rsidRPr="00526789" w:rsidRDefault="00632D37" w:rsidP="00FB126E">
      <w:pPr>
        <w:pStyle w:val="ListParagraph"/>
        <w:numPr>
          <w:ilvl w:val="0"/>
          <w:numId w:val="17"/>
        </w:numPr>
        <w:spacing w:before="0" w:after="120"/>
        <w:ind w:left="851" w:hanging="709"/>
        <w:rPr>
          <w:color w:val="252525"/>
        </w:rPr>
      </w:pPr>
      <w:r w:rsidRPr="00526789">
        <w:rPr>
          <w:color w:val="252525"/>
        </w:rPr>
        <w:t>Treasury management is the management of an institution’s cash flows, its banking, and investments to ensure that it has sufficient money available at the right time. It includes the effective control of the risks associated with cash management and the pursuit of optimum returns on cash reserves.</w:t>
      </w:r>
    </w:p>
    <w:p w14:paraId="5364422B" w14:textId="77777777" w:rsidR="00777944" w:rsidRPr="00526789" w:rsidRDefault="00632D37" w:rsidP="00FB126E">
      <w:pPr>
        <w:pStyle w:val="ListParagraph"/>
        <w:numPr>
          <w:ilvl w:val="0"/>
          <w:numId w:val="17"/>
        </w:numPr>
        <w:spacing w:before="0" w:after="120"/>
        <w:ind w:left="851" w:hanging="709"/>
        <w:rPr>
          <w:color w:val="252525"/>
        </w:rPr>
      </w:pPr>
      <w:r w:rsidRPr="00526789">
        <w:rPr>
          <w:color w:val="252525"/>
        </w:rPr>
        <w:t>This policy sets out the objectives of the University’s treasury management activities, as agreed by the Board of Governors. It applies to the University of Chichester and any other company in which the University may own a controlling stake in the future.</w:t>
      </w:r>
    </w:p>
    <w:p w14:paraId="484B3D11" w14:textId="77777777" w:rsidR="00777944" w:rsidRPr="00526789" w:rsidRDefault="00632D37" w:rsidP="00FB126E">
      <w:pPr>
        <w:pStyle w:val="ListParagraph"/>
        <w:numPr>
          <w:ilvl w:val="0"/>
          <w:numId w:val="17"/>
        </w:numPr>
        <w:spacing w:before="0" w:after="120"/>
        <w:ind w:left="851" w:hanging="709"/>
        <w:rPr>
          <w:color w:val="252525"/>
        </w:rPr>
      </w:pPr>
      <w:r w:rsidRPr="00526789">
        <w:rPr>
          <w:color w:val="252525"/>
        </w:rPr>
        <w:t>The University is committed to the principles of achieving best value in treasury management in support of its strategic and business objectives and will seek to employ suitable performance measurement techniques within the context of effective risk management.</w:t>
      </w:r>
    </w:p>
    <w:p w14:paraId="0972A007" w14:textId="77777777" w:rsidR="00777944" w:rsidRPr="00526789" w:rsidRDefault="00632D37" w:rsidP="00FB126E">
      <w:pPr>
        <w:pStyle w:val="ListParagraph"/>
        <w:numPr>
          <w:ilvl w:val="0"/>
          <w:numId w:val="17"/>
        </w:numPr>
        <w:spacing w:before="0" w:after="120"/>
        <w:ind w:left="851" w:hanging="709"/>
        <w:rPr>
          <w:color w:val="252525"/>
        </w:rPr>
      </w:pPr>
      <w:r w:rsidRPr="00526789">
        <w:rPr>
          <w:color w:val="252525"/>
        </w:rPr>
        <w:t>Within this framework, the University recognises that as a small institution the resource that can be devoted to achieving optimum performance is limited. The resources allocated to treasury management will therefore be relative to anticipated risks and associated returns.</w:t>
      </w:r>
    </w:p>
    <w:p w14:paraId="0D71E0C5" w14:textId="77777777" w:rsidR="00777944" w:rsidRPr="00526789" w:rsidRDefault="00632D37" w:rsidP="00FB126E">
      <w:pPr>
        <w:pStyle w:val="ListParagraph"/>
        <w:numPr>
          <w:ilvl w:val="0"/>
          <w:numId w:val="17"/>
        </w:numPr>
        <w:spacing w:before="0" w:after="120"/>
        <w:ind w:left="851" w:hanging="709"/>
        <w:rPr>
          <w:color w:val="252525"/>
        </w:rPr>
      </w:pPr>
      <w:r w:rsidRPr="00526789">
        <w:rPr>
          <w:color w:val="252525"/>
        </w:rPr>
        <w:t>In making investment decisions, the University places a high level of importance on operating in an ethically responsible manner and accepts that this may have implications for the level of returns possible.</w:t>
      </w:r>
    </w:p>
    <w:p w14:paraId="64C8B031" w14:textId="77777777" w:rsidR="00777944" w:rsidRDefault="00777944">
      <w:pPr>
        <w:pStyle w:val="BodyText"/>
        <w:spacing w:before="4"/>
        <w:rPr>
          <w:sz w:val="25"/>
        </w:rPr>
      </w:pPr>
    </w:p>
    <w:p w14:paraId="021C44B6" w14:textId="7CCD6715"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Context</w:t>
      </w:r>
    </w:p>
    <w:p w14:paraId="4CB0B9B3" w14:textId="77777777" w:rsidR="00777944" w:rsidRPr="00C1109D" w:rsidRDefault="00632D37" w:rsidP="00FB126E">
      <w:pPr>
        <w:pStyle w:val="ListParagraph"/>
        <w:numPr>
          <w:ilvl w:val="0"/>
          <w:numId w:val="15"/>
        </w:numPr>
        <w:spacing w:before="0" w:after="120"/>
        <w:ind w:left="850" w:hanging="754"/>
        <w:rPr>
          <w:color w:val="252525"/>
        </w:rPr>
      </w:pPr>
      <w:r>
        <w:rPr>
          <w:color w:val="252525"/>
        </w:rPr>
        <w:t>The University’s powers to borrow and invest monies and undertake related transactions are defined in its Memorandum of Association, Articles of Association, and in the regulations passed by its Board of Governors. An agreed Scheme of Delegation sets out which powers are reserved to the Board and which are delegated and to</w:t>
      </w:r>
      <w:r w:rsidRPr="00C1109D">
        <w:rPr>
          <w:color w:val="252525"/>
        </w:rPr>
        <w:t xml:space="preserve"> </w:t>
      </w:r>
      <w:r>
        <w:rPr>
          <w:color w:val="252525"/>
        </w:rPr>
        <w:t>whom.</w:t>
      </w:r>
    </w:p>
    <w:p w14:paraId="32D0F294" w14:textId="5F2C0391" w:rsidR="00777944" w:rsidRPr="00C1109D" w:rsidRDefault="00632D37" w:rsidP="00FB126E">
      <w:pPr>
        <w:pStyle w:val="ListParagraph"/>
        <w:numPr>
          <w:ilvl w:val="0"/>
          <w:numId w:val="15"/>
        </w:numPr>
        <w:spacing w:before="0" w:after="120"/>
        <w:ind w:left="850" w:hanging="754"/>
        <w:rPr>
          <w:color w:val="252525"/>
        </w:rPr>
      </w:pPr>
      <w:r>
        <w:rPr>
          <w:color w:val="252525"/>
        </w:rPr>
        <w:t xml:space="preserve">The University is required to comply with the terms of its funding agreements with, inter alia, the Office for Students, which </w:t>
      </w:r>
      <w:r w:rsidR="00F0014F">
        <w:rPr>
          <w:color w:val="252525"/>
        </w:rPr>
        <w:t xml:space="preserve">may </w:t>
      </w:r>
      <w:r>
        <w:rPr>
          <w:color w:val="252525"/>
        </w:rPr>
        <w:t>include specific terms relating to financial</w:t>
      </w:r>
      <w:r w:rsidRPr="00C1109D">
        <w:rPr>
          <w:color w:val="252525"/>
        </w:rPr>
        <w:t xml:space="preserve"> </w:t>
      </w:r>
      <w:r>
        <w:rPr>
          <w:color w:val="252525"/>
        </w:rPr>
        <w:t>commitments.</w:t>
      </w:r>
    </w:p>
    <w:p w14:paraId="14F6D67C" w14:textId="77777777" w:rsidR="00777944" w:rsidRDefault="00777944">
      <w:pPr>
        <w:pStyle w:val="BodyText"/>
        <w:spacing w:before="5"/>
        <w:rPr>
          <w:sz w:val="25"/>
        </w:rPr>
      </w:pPr>
    </w:p>
    <w:p w14:paraId="5C8F07CC" w14:textId="1B233114"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Treasury Management</w:t>
      </w:r>
    </w:p>
    <w:p w14:paraId="762AF226" w14:textId="6D104A30" w:rsidR="00777944" w:rsidRPr="00FB126E" w:rsidRDefault="00632D37" w:rsidP="00FB126E">
      <w:pPr>
        <w:pStyle w:val="ListParagraph"/>
        <w:numPr>
          <w:ilvl w:val="0"/>
          <w:numId w:val="18"/>
        </w:numPr>
        <w:spacing w:before="0" w:after="120"/>
        <w:ind w:left="851" w:hanging="752"/>
        <w:rPr>
          <w:color w:val="252525"/>
        </w:rPr>
      </w:pPr>
      <w:r>
        <w:rPr>
          <w:color w:val="252525"/>
        </w:rPr>
        <w:t xml:space="preserve">The Director of Finance (taking expert advice where appropriate) will establish, implement and monitor arrangements for the identification, management and control of treasury management risk. </w:t>
      </w:r>
      <w:r w:rsidR="00F0014F">
        <w:rPr>
          <w:color w:val="252525"/>
        </w:rPr>
        <w:t xml:space="preserve">Financial data including Treasury Management is provided </w:t>
      </w:r>
      <w:r w:rsidR="00571E97">
        <w:rPr>
          <w:color w:val="252525"/>
        </w:rPr>
        <w:t>monthly</w:t>
      </w:r>
      <w:r w:rsidR="00F0014F">
        <w:rPr>
          <w:color w:val="252525"/>
        </w:rPr>
        <w:t xml:space="preserve"> via the Management Accounts Pack to VCG</w:t>
      </w:r>
      <w:r w:rsidR="00571E97">
        <w:rPr>
          <w:color w:val="252525"/>
        </w:rPr>
        <w:t xml:space="preserve"> and</w:t>
      </w:r>
      <w:r w:rsidR="00F0014F">
        <w:rPr>
          <w:color w:val="252525"/>
        </w:rPr>
        <w:t xml:space="preserve"> Committees and </w:t>
      </w:r>
      <w:r w:rsidR="00571E97">
        <w:rPr>
          <w:color w:val="252525"/>
        </w:rPr>
        <w:t xml:space="preserve">quarterly to the </w:t>
      </w:r>
      <w:r w:rsidR="00F0014F">
        <w:rPr>
          <w:color w:val="252525"/>
        </w:rPr>
        <w:t>Banks.</w:t>
      </w:r>
    </w:p>
    <w:p w14:paraId="6898A239" w14:textId="77777777" w:rsidR="00777944" w:rsidRDefault="00632D37">
      <w:pPr>
        <w:pStyle w:val="ListParagraph"/>
        <w:numPr>
          <w:ilvl w:val="2"/>
          <w:numId w:val="8"/>
        </w:numPr>
        <w:tabs>
          <w:tab w:val="left" w:pos="1519"/>
        </w:tabs>
        <w:spacing w:before="119"/>
      </w:pPr>
      <w:r>
        <w:rPr>
          <w:color w:val="252525"/>
        </w:rPr>
        <w:t>Liquidity Risk Management</w:t>
      </w:r>
    </w:p>
    <w:p w14:paraId="09114644" w14:textId="7396E811" w:rsidR="00D717CB" w:rsidRDefault="00632D37" w:rsidP="00D717CB">
      <w:pPr>
        <w:pStyle w:val="BodyText"/>
        <w:spacing w:before="120"/>
        <w:ind w:left="1518" w:right="173"/>
        <w:jc w:val="both"/>
        <w:rPr>
          <w:color w:val="252525"/>
        </w:rPr>
      </w:pPr>
      <w:r>
        <w:rPr>
          <w:color w:val="252525"/>
        </w:rPr>
        <w:t>The</w:t>
      </w:r>
      <w:r>
        <w:rPr>
          <w:color w:val="252525"/>
          <w:spacing w:val="-10"/>
        </w:rPr>
        <w:t xml:space="preserve"> </w:t>
      </w:r>
      <w:r>
        <w:rPr>
          <w:color w:val="252525"/>
        </w:rPr>
        <w:t>University</w:t>
      </w:r>
      <w:r>
        <w:rPr>
          <w:color w:val="252525"/>
          <w:spacing w:val="-12"/>
        </w:rPr>
        <w:t xml:space="preserve"> </w:t>
      </w:r>
      <w:r>
        <w:rPr>
          <w:color w:val="252525"/>
        </w:rPr>
        <w:t>will</w:t>
      </w:r>
      <w:r>
        <w:rPr>
          <w:color w:val="252525"/>
          <w:spacing w:val="-11"/>
        </w:rPr>
        <w:t xml:space="preserve"> </w:t>
      </w:r>
      <w:r>
        <w:rPr>
          <w:color w:val="252525"/>
        </w:rPr>
        <w:t>ensure</w:t>
      </w:r>
      <w:r>
        <w:rPr>
          <w:color w:val="252525"/>
          <w:spacing w:val="-10"/>
        </w:rPr>
        <w:t xml:space="preserve"> </w:t>
      </w:r>
      <w:r>
        <w:rPr>
          <w:color w:val="252525"/>
        </w:rPr>
        <w:t>that</w:t>
      </w:r>
      <w:r>
        <w:rPr>
          <w:color w:val="252525"/>
          <w:spacing w:val="-10"/>
        </w:rPr>
        <w:t xml:space="preserve"> </w:t>
      </w:r>
      <w:r>
        <w:rPr>
          <w:color w:val="252525"/>
        </w:rPr>
        <w:t>it</w:t>
      </w:r>
      <w:r>
        <w:rPr>
          <w:color w:val="252525"/>
          <w:spacing w:val="-9"/>
        </w:rPr>
        <w:t xml:space="preserve"> </w:t>
      </w:r>
      <w:r>
        <w:rPr>
          <w:color w:val="252525"/>
        </w:rPr>
        <w:t>has</w:t>
      </w:r>
      <w:r>
        <w:rPr>
          <w:color w:val="252525"/>
          <w:spacing w:val="-11"/>
        </w:rPr>
        <w:t xml:space="preserve"> </w:t>
      </w:r>
      <w:r>
        <w:rPr>
          <w:color w:val="252525"/>
        </w:rPr>
        <w:t>sufficient</w:t>
      </w:r>
      <w:r>
        <w:rPr>
          <w:color w:val="252525"/>
          <w:spacing w:val="-9"/>
        </w:rPr>
        <w:t xml:space="preserve"> </w:t>
      </w:r>
      <w:r>
        <w:rPr>
          <w:color w:val="252525"/>
        </w:rPr>
        <w:t>cash</w:t>
      </w:r>
      <w:r>
        <w:rPr>
          <w:color w:val="252525"/>
          <w:spacing w:val="-11"/>
        </w:rPr>
        <w:t xml:space="preserve"> </w:t>
      </w:r>
      <w:r>
        <w:rPr>
          <w:color w:val="252525"/>
        </w:rPr>
        <w:t>and</w:t>
      </w:r>
      <w:r>
        <w:rPr>
          <w:color w:val="252525"/>
          <w:spacing w:val="-11"/>
        </w:rPr>
        <w:t xml:space="preserve"> </w:t>
      </w:r>
      <w:r>
        <w:rPr>
          <w:color w:val="252525"/>
        </w:rPr>
        <w:t>available</w:t>
      </w:r>
      <w:r>
        <w:rPr>
          <w:color w:val="252525"/>
          <w:spacing w:val="-9"/>
        </w:rPr>
        <w:t xml:space="preserve"> </w:t>
      </w:r>
      <w:r>
        <w:rPr>
          <w:color w:val="252525"/>
        </w:rPr>
        <w:t>facilities</w:t>
      </w:r>
      <w:r>
        <w:rPr>
          <w:color w:val="252525"/>
          <w:spacing w:val="-10"/>
        </w:rPr>
        <w:t xml:space="preserve"> </w:t>
      </w:r>
      <w:r>
        <w:rPr>
          <w:color w:val="252525"/>
        </w:rPr>
        <w:t>to</w:t>
      </w:r>
      <w:r>
        <w:rPr>
          <w:color w:val="252525"/>
          <w:spacing w:val="-11"/>
        </w:rPr>
        <w:t xml:space="preserve"> </w:t>
      </w:r>
      <w:r>
        <w:rPr>
          <w:color w:val="252525"/>
        </w:rPr>
        <w:t>meet</w:t>
      </w:r>
      <w:r>
        <w:rPr>
          <w:color w:val="252525"/>
          <w:spacing w:val="-10"/>
        </w:rPr>
        <w:t xml:space="preserve"> </w:t>
      </w:r>
      <w:r>
        <w:rPr>
          <w:color w:val="252525"/>
        </w:rPr>
        <w:t>its</w:t>
      </w:r>
      <w:r>
        <w:rPr>
          <w:color w:val="252525"/>
          <w:spacing w:val="-10"/>
        </w:rPr>
        <w:t xml:space="preserve"> </w:t>
      </w:r>
      <w:r>
        <w:rPr>
          <w:color w:val="252525"/>
        </w:rPr>
        <w:t>liabilities as they fall due with a sufficient margin to meet unexpected expenditure that may arise from time to</w:t>
      </w:r>
      <w:r>
        <w:rPr>
          <w:color w:val="252525"/>
          <w:spacing w:val="-1"/>
        </w:rPr>
        <w:t xml:space="preserve"> </w:t>
      </w:r>
      <w:r>
        <w:rPr>
          <w:color w:val="252525"/>
        </w:rPr>
        <w:t>time.</w:t>
      </w:r>
      <w:r w:rsidR="00F0014F">
        <w:rPr>
          <w:color w:val="252525"/>
        </w:rPr>
        <w:t xml:space="preserve"> Cash availability is measured against the Office for Students liquidity test </w:t>
      </w:r>
      <w:r w:rsidR="00571E97">
        <w:rPr>
          <w:color w:val="252525"/>
        </w:rPr>
        <w:t>quarterly</w:t>
      </w:r>
      <w:r w:rsidR="00F0014F">
        <w:rPr>
          <w:color w:val="252525"/>
        </w:rPr>
        <w:t>.</w:t>
      </w:r>
    </w:p>
    <w:p w14:paraId="7F51CC95" w14:textId="77777777" w:rsidR="00D717CB" w:rsidRPr="00D717CB" w:rsidRDefault="00D717CB" w:rsidP="00D717CB">
      <w:pPr>
        <w:pStyle w:val="BodyText"/>
        <w:spacing w:before="120"/>
        <w:ind w:left="1518" w:right="173"/>
        <w:jc w:val="both"/>
        <w:rPr>
          <w:color w:val="252525"/>
        </w:rPr>
      </w:pPr>
    </w:p>
    <w:p w14:paraId="49AEEE5D" w14:textId="77777777" w:rsidR="00777944" w:rsidRDefault="00632D37">
      <w:pPr>
        <w:pStyle w:val="ListParagraph"/>
        <w:numPr>
          <w:ilvl w:val="2"/>
          <w:numId w:val="8"/>
        </w:numPr>
        <w:tabs>
          <w:tab w:val="left" w:pos="1519"/>
        </w:tabs>
        <w:spacing w:before="41"/>
      </w:pPr>
      <w:r>
        <w:rPr>
          <w:color w:val="252525"/>
        </w:rPr>
        <w:t>Interest Rate Risk</w:t>
      </w:r>
      <w:r>
        <w:rPr>
          <w:color w:val="252525"/>
          <w:spacing w:val="-4"/>
        </w:rPr>
        <w:t xml:space="preserve"> </w:t>
      </w:r>
      <w:r>
        <w:rPr>
          <w:color w:val="252525"/>
        </w:rPr>
        <w:t>Management</w:t>
      </w:r>
    </w:p>
    <w:p w14:paraId="7F0CB712" w14:textId="5DE15965" w:rsidR="00777944" w:rsidRDefault="00632D37">
      <w:pPr>
        <w:pStyle w:val="BodyText"/>
        <w:spacing w:before="121"/>
        <w:ind w:left="1518" w:right="174"/>
        <w:jc w:val="both"/>
      </w:pPr>
      <w:r>
        <w:rPr>
          <w:color w:val="252525"/>
        </w:rPr>
        <w:t>Prior to the undertaking of any new borrowing, the Director of Finance will prepare a report for approval by the Finance and Resources Committee, with recommendations for managing the exposure resulting from that new borrowing.</w:t>
      </w:r>
    </w:p>
    <w:p w14:paraId="25D82880" w14:textId="30060105" w:rsidR="00777944" w:rsidRDefault="00632D37">
      <w:pPr>
        <w:pStyle w:val="BodyText"/>
        <w:spacing w:before="118"/>
        <w:ind w:left="1518" w:right="175"/>
        <w:jc w:val="both"/>
        <w:rPr>
          <w:color w:val="252525"/>
        </w:rPr>
      </w:pPr>
      <w:r>
        <w:rPr>
          <w:color w:val="252525"/>
        </w:rPr>
        <w:t>Revolving credit facilities will normally remain subject to variable interest rates</w:t>
      </w:r>
      <w:r w:rsidR="00FF1709">
        <w:rPr>
          <w:color w:val="252525"/>
        </w:rPr>
        <w:t>.</w:t>
      </w:r>
      <w:r w:rsidR="00F0014F" w:rsidRPr="003E464A">
        <w:rPr>
          <w:color w:val="252525"/>
        </w:rPr>
        <w:t xml:space="preserve"> The current arrangement from December 2022 is for a facility of £10m</w:t>
      </w:r>
      <w:r w:rsidR="00571E97" w:rsidRPr="003E464A">
        <w:rPr>
          <w:color w:val="252525"/>
        </w:rPr>
        <w:t xml:space="preserve"> for a period of five years</w:t>
      </w:r>
      <w:r w:rsidR="00FF1709">
        <w:rPr>
          <w:color w:val="252525"/>
        </w:rPr>
        <w:t>.</w:t>
      </w:r>
    </w:p>
    <w:p w14:paraId="7161EEC9" w14:textId="6AEC8353" w:rsidR="00FF1709" w:rsidRDefault="00FF1709">
      <w:pPr>
        <w:pStyle w:val="BodyText"/>
        <w:spacing w:before="118"/>
        <w:ind w:left="1518" w:right="175"/>
        <w:jc w:val="both"/>
      </w:pPr>
      <w:r>
        <w:t>The current loan arrangement has an option to move to fixed rate should it be beneficial to do so</w:t>
      </w:r>
      <w:r w:rsidR="00DB2B71">
        <w:t xml:space="preserve"> upon which the Director of Finance will make a recommendation to Finance and Resources </w:t>
      </w:r>
      <w:r w:rsidR="00DB2B71">
        <w:lastRenderedPageBreak/>
        <w:t xml:space="preserve">Committee for approval. </w:t>
      </w:r>
    </w:p>
    <w:p w14:paraId="434FD056" w14:textId="572456C3" w:rsidR="00FF1709" w:rsidRDefault="00FF1709" w:rsidP="00FF1709">
      <w:pPr>
        <w:pStyle w:val="BodyText"/>
        <w:spacing w:before="118"/>
        <w:ind w:right="175"/>
        <w:jc w:val="both"/>
      </w:pPr>
    </w:p>
    <w:p w14:paraId="1A250C03" w14:textId="77777777" w:rsidR="00777944" w:rsidRDefault="00632D37">
      <w:pPr>
        <w:pStyle w:val="ListParagraph"/>
        <w:numPr>
          <w:ilvl w:val="2"/>
          <w:numId w:val="8"/>
        </w:numPr>
        <w:tabs>
          <w:tab w:val="left" w:pos="1519"/>
        </w:tabs>
        <w:spacing w:before="0"/>
      </w:pPr>
      <w:r>
        <w:rPr>
          <w:color w:val="252525"/>
        </w:rPr>
        <w:t>Exchange Rate Risk</w:t>
      </w:r>
      <w:r>
        <w:rPr>
          <w:color w:val="252525"/>
          <w:spacing w:val="-4"/>
        </w:rPr>
        <w:t xml:space="preserve"> </w:t>
      </w:r>
      <w:r>
        <w:rPr>
          <w:color w:val="252525"/>
        </w:rPr>
        <w:t>Management</w:t>
      </w:r>
    </w:p>
    <w:p w14:paraId="1A4A8531" w14:textId="0084A733" w:rsidR="00777944" w:rsidRDefault="00632D37">
      <w:pPr>
        <w:pStyle w:val="BodyText"/>
        <w:spacing w:before="120"/>
        <w:ind w:left="1518"/>
        <w:jc w:val="both"/>
      </w:pPr>
      <w:r>
        <w:rPr>
          <w:color w:val="252525"/>
        </w:rPr>
        <w:t xml:space="preserve">The University will </w:t>
      </w:r>
      <w:r w:rsidR="00FF1709">
        <w:rPr>
          <w:color w:val="252525"/>
        </w:rPr>
        <w:t>minimise exposure</w:t>
      </w:r>
      <w:r>
        <w:rPr>
          <w:color w:val="252525"/>
        </w:rPr>
        <w:t xml:space="preserve"> to unnecessary or speculative exchange rate risk. As a</w:t>
      </w:r>
    </w:p>
    <w:p w14:paraId="37E461D2" w14:textId="77777777" w:rsidR="00777944" w:rsidRDefault="00632D37">
      <w:pPr>
        <w:pStyle w:val="BodyText"/>
        <w:ind w:left="1518"/>
        <w:jc w:val="both"/>
      </w:pPr>
      <w:r>
        <w:rPr>
          <w:color w:val="252525"/>
        </w:rPr>
        <w:t>small institution, the University’s normal exposure levels are minimal.</w:t>
      </w:r>
    </w:p>
    <w:p w14:paraId="4F8997E5" w14:textId="77777777" w:rsidR="00777944" w:rsidRDefault="00632D37">
      <w:pPr>
        <w:pStyle w:val="BodyText"/>
        <w:spacing w:before="121"/>
        <w:ind w:left="1518" w:right="174"/>
        <w:jc w:val="both"/>
      </w:pPr>
      <w:r>
        <w:rPr>
          <w:color w:val="252525"/>
        </w:rPr>
        <w:t>The</w:t>
      </w:r>
      <w:r>
        <w:rPr>
          <w:color w:val="252525"/>
          <w:spacing w:val="-13"/>
        </w:rPr>
        <w:t xml:space="preserve"> </w:t>
      </w:r>
      <w:r>
        <w:rPr>
          <w:color w:val="252525"/>
        </w:rPr>
        <w:t>University</w:t>
      </w:r>
      <w:r>
        <w:rPr>
          <w:color w:val="252525"/>
          <w:spacing w:val="-13"/>
        </w:rPr>
        <w:t xml:space="preserve"> </w:t>
      </w:r>
      <w:r>
        <w:rPr>
          <w:color w:val="252525"/>
        </w:rPr>
        <w:t>will</w:t>
      </w:r>
      <w:r>
        <w:rPr>
          <w:color w:val="252525"/>
          <w:spacing w:val="-15"/>
        </w:rPr>
        <w:t xml:space="preserve"> </w:t>
      </w:r>
      <w:r>
        <w:rPr>
          <w:color w:val="252525"/>
        </w:rPr>
        <w:t>maintain</w:t>
      </w:r>
      <w:r>
        <w:rPr>
          <w:color w:val="252525"/>
          <w:spacing w:val="-15"/>
        </w:rPr>
        <w:t xml:space="preserve"> </w:t>
      </w:r>
      <w:r>
        <w:rPr>
          <w:color w:val="252525"/>
        </w:rPr>
        <w:t>accounts</w:t>
      </w:r>
      <w:r>
        <w:rPr>
          <w:color w:val="252525"/>
          <w:spacing w:val="-12"/>
        </w:rPr>
        <w:t xml:space="preserve"> </w:t>
      </w:r>
      <w:r>
        <w:rPr>
          <w:color w:val="252525"/>
        </w:rPr>
        <w:t>in</w:t>
      </w:r>
      <w:r>
        <w:rPr>
          <w:color w:val="252525"/>
          <w:spacing w:val="-13"/>
        </w:rPr>
        <w:t xml:space="preserve"> </w:t>
      </w:r>
      <w:r>
        <w:rPr>
          <w:color w:val="252525"/>
        </w:rPr>
        <w:t>Euros</w:t>
      </w:r>
      <w:r>
        <w:rPr>
          <w:color w:val="252525"/>
          <w:spacing w:val="-12"/>
        </w:rPr>
        <w:t xml:space="preserve"> </w:t>
      </w:r>
      <w:r>
        <w:rPr>
          <w:color w:val="252525"/>
        </w:rPr>
        <w:t>and</w:t>
      </w:r>
      <w:r>
        <w:rPr>
          <w:color w:val="252525"/>
          <w:spacing w:val="-15"/>
        </w:rPr>
        <w:t xml:space="preserve"> </w:t>
      </w:r>
      <w:r>
        <w:rPr>
          <w:color w:val="252525"/>
        </w:rPr>
        <w:t>US</w:t>
      </w:r>
      <w:r>
        <w:rPr>
          <w:color w:val="252525"/>
          <w:spacing w:val="-13"/>
        </w:rPr>
        <w:t xml:space="preserve"> </w:t>
      </w:r>
      <w:r>
        <w:rPr>
          <w:color w:val="252525"/>
        </w:rPr>
        <w:t>Dollars</w:t>
      </w:r>
      <w:r>
        <w:rPr>
          <w:color w:val="252525"/>
          <w:spacing w:val="-12"/>
        </w:rPr>
        <w:t xml:space="preserve"> </w:t>
      </w:r>
      <w:r>
        <w:rPr>
          <w:color w:val="252525"/>
        </w:rPr>
        <w:t>as</w:t>
      </w:r>
      <w:r>
        <w:rPr>
          <w:color w:val="252525"/>
          <w:spacing w:val="-17"/>
        </w:rPr>
        <w:t xml:space="preserve"> </w:t>
      </w:r>
      <w:r>
        <w:rPr>
          <w:color w:val="252525"/>
        </w:rPr>
        <w:t>material</w:t>
      </w:r>
      <w:r>
        <w:rPr>
          <w:color w:val="252525"/>
          <w:spacing w:val="-15"/>
        </w:rPr>
        <w:t xml:space="preserve"> </w:t>
      </w:r>
      <w:r>
        <w:rPr>
          <w:color w:val="252525"/>
        </w:rPr>
        <w:t>levels</w:t>
      </w:r>
      <w:r>
        <w:rPr>
          <w:color w:val="252525"/>
          <w:spacing w:val="-15"/>
        </w:rPr>
        <w:t xml:space="preserve"> </w:t>
      </w:r>
      <w:r>
        <w:rPr>
          <w:color w:val="252525"/>
        </w:rPr>
        <w:t>of</w:t>
      </w:r>
      <w:r>
        <w:rPr>
          <w:color w:val="252525"/>
          <w:spacing w:val="-12"/>
        </w:rPr>
        <w:t xml:space="preserve"> </w:t>
      </w:r>
      <w:r>
        <w:rPr>
          <w:color w:val="252525"/>
        </w:rPr>
        <w:t>both</w:t>
      </w:r>
      <w:r>
        <w:rPr>
          <w:color w:val="252525"/>
          <w:spacing w:val="-12"/>
        </w:rPr>
        <w:t xml:space="preserve"> </w:t>
      </w:r>
      <w:r>
        <w:rPr>
          <w:color w:val="252525"/>
        </w:rPr>
        <w:t>receipts and</w:t>
      </w:r>
      <w:r>
        <w:rPr>
          <w:color w:val="252525"/>
          <w:spacing w:val="-4"/>
        </w:rPr>
        <w:t xml:space="preserve"> </w:t>
      </w:r>
      <w:r>
        <w:rPr>
          <w:color w:val="252525"/>
        </w:rPr>
        <w:t>payments</w:t>
      </w:r>
      <w:r>
        <w:rPr>
          <w:color w:val="252525"/>
          <w:spacing w:val="-2"/>
        </w:rPr>
        <w:t xml:space="preserve"> </w:t>
      </w:r>
      <w:r>
        <w:rPr>
          <w:color w:val="252525"/>
        </w:rPr>
        <w:t>are</w:t>
      </w:r>
      <w:r>
        <w:rPr>
          <w:color w:val="252525"/>
          <w:spacing w:val="-5"/>
        </w:rPr>
        <w:t xml:space="preserve"> </w:t>
      </w:r>
      <w:r>
        <w:rPr>
          <w:color w:val="252525"/>
        </w:rPr>
        <w:t>made</w:t>
      </w:r>
      <w:r>
        <w:rPr>
          <w:color w:val="252525"/>
          <w:spacing w:val="-2"/>
        </w:rPr>
        <w:t xml:space="preserve"> </w:t>
      </w:r>
      <w:r>
        <w:rPr>
          <w:color w:val="252525"/>
        </w:rPr>
        <w:t>in</w:t>
      </w:r>
      <w:r>
        <w:rPr>
          <w:color w:val="252525"/>
          <w:spacing w:val="-7"/>
        </w:rPr>
        <w:t xml:space="preserve"> </w:t>
      </w:r>
      <w:r>
        <w:rPr>
          <w:color w:val="252525"/>
        </w:rPr>
        <w:t>these</w:t>
      </w:r>
      <w:r>
        <w:rPr>
          <w:color w:val="252525"/>
          <w:spacing w:val="-2"/>
        </w:rPr>
        <w:t xml:space="preserve"> </w:t>
      </w:r>
      <w:r>
        <w:rPr>
          <w:color w:val="252525"/>
        </w:rPr>
        <w:t>currencies.</w:t>
      </w:r>
      <w:r>
        <w:rPr>
          <w:color w:val="252525"/>
          <w:spacing w:val="-2"/>
        </w:rPr>
        <w:t xml:space="preserve"> </w:t>
      </w:r>
      <w:r>
        <w:rPr>
          <w:color w:val="252525"/>
        </w:rPr>
        <w:t>The</w:t>
      </w:r>
      <w:r>
        <w:rPr>
          <w:color w:val="252525"/>
          <w:spacing w:val="-2"/>
        </w:rPr>
        <w:t xml:space="preserve"> </w:t>
      </w:r>
      <w:r>
        <w:rPr>
          <w:color w:val="252525"/>
        </w:rPr>
        <w:t>Director</w:t>
      </w:r>
      <w:r>
        <w:rPr>
          <w:color w:val="252525"/>
          <w:spacing w:val="-5"/>
        </w:rPr>
        <w:t xml:space="preserve"> </w:t>
      </w:r>
      <w:r>
        <w:rPr>
          <w:color w:val="252525"/>
        </w:rPr>
        <w:t>of</w:t>
      </w:r>
      <w:r>
        <w:rPr>
          <w:color w:val="252525"/>
          <w:spacing w:val="-3"/>
        </w:rPr>
        <w:t xml:space="preserve"> </w:t>
      </w:r>
      <w:r>
        <w:rPr>
          <w:color w:val="252525"/>
        </w:rPr>
        <w:t>Finance</w:t>
      </w:r>
      <w:r>
        <w:rPr>
          <w:color w:val="252525"/>
          <w:spacing w:val="-1"/>
        </w:rPr>
        <w:t xml:space="preserve"> </w:t>
      </w:r>
      <w:r>
        <w:rPr>
          <w:color w:val="252525"/>
        </w:rPr>
        <w:t>has</w:t>
      </w:r>
      <w:r>
        <w:rPr>
          <w:color w:val="252525"/>
          <w:spacing w:val="-2"/>
        </w:rPr>
        <w:t xml:space="preserve"> </w:t>
      </w:r>
      <w:r>
        <w:rPr>
          <w:color w:val="252525"/>
        </w:rPr>
        <w:t>authority</w:t>
      </w:r>
      <w:r>
        <w:rPr>
          <w:color w:val="252525"/>
          <w:spacing w:val="-2"/>
        </w:rPr>
        <w:t xml:space="preserve"> </w:t>
      </w:r>
      <w:r>
        <w:rPr>
          <w:color w:val="252525"/>
        </w:rPr>
        <w:t>to</w:t>
      </w:r>
      <w:r>
        <w:rPr>
          <w:color w:val="252525"/>
          <w:spacing w:val="-3"/>
        </w:rPr>
        <w:t xml:space="preserve"> </w:t>
      </w:r>
      <w:r>
        <w:rPr>
          <w:color w:val="252525"/>
        </w:rPr>
        <w:t>approve additional foreign currency accounts if</w:t>
      </w:r>
      <w:r>
        <w:rPr>
          <w:color w:val="252525"/>
          <w:spacing w:val="-4"/>
        </w:rPr>
        <w:t xml:space="preserve"> </w:t>
      </w:r>
      <w:r>
        <w:rPr>
          <w:color w:val="252525"/>
        </w:rPr>
        <w:t>appropriate.</w:t>
      </w:r>
    </w:p>
    <w:p w14:paraId="6C950787" w14:textId="70C44634" w:rsidR="00777944" w:rsidRDefault="00632D37">
      <w:pPr>
        <w:pStyle w:val="BodyText"/>
        <w:spacing w:before="118"/>
        <w:ind w:left="1518" w:right="174"/>
        <w:jc w:val="both"/>
      </w:pPr>
      <w:r>
        <w:rPr>
          <w:color w:val="252525"/>
        </w:rPr>
        <w:t xml:space="preserve">The University will retain funds in these currencies only to the extent that payments are due to be made in these currencies. </w:t>
      </w:r>
      <w:r w:rsidR="008D2D4D">
        <w:rPr>
          <w:color w:val="252525"/>
        </w:rPr>
        <w:t xml:space="preserve"> Significant balances will be reviewed and if appropriate, transferred into Sterling at the best rate available.</w:t>
      </w:r>
    </w:p>
    <w:p w14:paraId="2C4EAFFE" w14:textId="36B83561" w:rsidR="00777944" w:rsidRDefault="00632D37">
      <w:pPr>
        <w:pStyle w:val="BodyText"/>
        <w:spacing w:before="121"/>
        <w:ind w:left="1518" w:right="174"/>
        <w:jc w:val="both"/>
        <w:rPr>
          <w:color w:val="252525"/>
        </w:rPr>
      </w:pPr>
      <w:r>
        <w:rPr>
          <w:color w:val="252525"/>
        </w:rPr>
        <w:t xml:space="preserve">The University </w:t>
      </w:r>
      <w:r w:rsidR="00571E97">
        <w:rPr>
          <w:color w:val="252525"/>
        </w:rPr>
        <w:t>has minimal</w:t>
      </w:r>
      <w:r>
        <w:rPr>
          <w:color w:val="252525"/>
        </w:rPr>
        <w:t xml:space="preserve"> exposed to exchange rate fluctuations in respect of research project income to the extent that bids are submitted and awards made in foreign currencies. The most significant source of such income is the EU Commission. </w:t>
      </w:r>
    </w:p>
    <w:p w14:paraId="53E48C53" w14:textId="1BC00DC1" w:rsidR="00FF1709" w:rsidRDefault="008C149B">
      <w:pPr>
        <w:pStyle w:val="BodyText"/>
        <w:spacing w:before="121"/>
        <w:ind w:left="1518" w:right="174"/>
        <w:jc w:val="both"/>
      </w:pPr>
      <w:r>
        <w:rPr>
          <w:color w:val="252525"/>
        </w:rPr>
        <w:t xml:space="preserve">If the </w:t>
      </w:r>
      <w:r w:rsidR="00FF1709" w:rsidRPr="008D2D4D">
        <w:rPr>
          <w:color w:val="252525"/>
        </w:rPr>
        <w:t>University</w:t>
      </w:r>
      <w:r>
        <w:rPr>
          <w:color w:val="252525"/>
        </w:rPr>
        <w:t xml:space="preserve"> enters into a contract in a foreign currency, then the University will assess the foreign currency risk</w:t>
      </w:r>
      <w:r w:rsidR="00652087">
        <w:rPr>
          <w:color w:val="252525"/>
        </w:rPr>
        <w:t xml:space="preserve"> within the month</w:t>
      </w:r>
      <w:r>
        <w:rPr>
          <w:color w:val="252525"/>
        </w:rPr>
        <w:t xml:space="preserve"> and put in place the appropriate exposure management strategy</w:t>
      </w:r>
      <w:r w:rsidR="00FF1709">
        <w:rPr>
          <w:color w:val="252525"/>
        </w:rPr>
        <w:t>.</w:t>
      </w:r>
    </w:p>
    <w:p w14:paraId="23C64506" w14:textId="77777777" w:rsidR="00777944" w:rsidRDefault="00777944">
      <w:pPr>
        <w:pStyle w:val="BodyText"/>
        <w:spacing w:before="8"/>
        <w:rPr>
          <w:sz w:val="21"/>
        </w:rPr>
      </w:pPr>
    </w:p>
    <w:p w14:paraId="0852B0BA" w14:textId="77777777" w:rsidR="00777944" w:rsidRDefault="00632D37">
      <w:pPr>
        <w:pStyle w:val="ListParagraph"/>
        <w:numPr>
          <w:ilvl w:val="2"/>
          <w:numId w:val="8"/>
        </w:numPr>
        <w:tabs>
          <w:tab w:val="left" w:pos="1519"/>
        </w:tabs>
        <w:spacing w:before="0"/>
      </w:pPr>
      <w:r>
        <w:rPr>
          <w:color w:val="252525"/>
        </w:rPr>
        <w:t>Credit and Counterparty Risk Management (Investments/Cash</w:t>
      </w:r>
      <w:r>
        <w:rPr>
          <w:color w:val="252525"/>
          <w:spacing w:val="-7"/>
        </w:rPr>
        <w:t xml:space="preserve"> </w:t>
      </w:r>
      <w:r>
        <w:rPr>
          <w:color w:val="252525"/>
        </w:rPr>
        <w:t>Deposits)</w:t>
      </w:r>
    </w:p>
    <w:p w14:paraId="6752963A" w14:textId="2D799CDE" w:rsidR="00777944" w:rsidRDefault="00632D37">
      <w:pPr>
        <w:pStyle w:val="BodyText"/>
        <w:spacing w:before="120"/>
        <w:ind w:left="1518" w:right="176"/>
        <w:jc w:val="both"/>
      </w:pPr>
      <w:r>
        <w:rPr>
          <w:color w:val="252525"/>
        </w:rPr>
        <w:t xml:space="preserve">In any decisions over cash deposits, the security of cash deposited must take precedence. However, the complete avoidance of risk is neither appropriate nor possible. </w:t>
      </w:r>
    </w:p>
    <w:p w14:paraId="665A13EC" w14:textId="6C238A94" w:rsidR="00777944" w:rsidRDefault="00632D37">
      <w:pPr>
        <w:pStyle w:val="BodyText"/>
        <w:spacing w:before="120"/>
        <w:ind w:left="1518" w:right="175"/>
        <w:jc w:val="both"/>
      </w:pPr>
      <w:r>
        <w:rPr>
          <w:color w:val="252525"/>
        </w:rPr>
        <w:t>Where the University has placed funds on fixed term deposit and circumstances change such that there is a rating agency downgrade or the University receives advice regarding the counterparty’s creditworthiness, no further funds will be deposited with that counterparty. Existing deposits will be allowed to mature unless the change indicates a fundamental deterioration</w:t>
      </w:r>
      <w:r>
        <w:rPr>
          <w:color w:val="252525"/>
          <w:spacing w:val="-12"/>
        </w:rPr>
        <w:t xml:space="preserve"> </w:t>
      </w:r>
      <w:r>
        <w:rPr>
          <w:color w:val="252525"/>
        </w:rPr>
        <w:t>in</w:t>
      </w:r>
      <w:r>
        <w:rPr>
          <w:color w:val="252525"/>
          <w:spacing w:val="-15"/>
        </w:rPr>
        <w:t xml:space="preserve"> </w:t>
      </w:r>
      <w:r>
        <w:rPr>
          <w:color w:val="252525"/>
        </w:rPr>
        <w:t>the</w:t>
      </w:r>
      <w:r>
        <w:rPr>
          <w:color w:val="252525"/>
          <w:spacing w:val="-13"/>
        </w:rPr>
        <w:t xml:space="preserve"> </w:t>
      </w:r>
      <w:r>
        <w:rPr>
          <w:color w:val="252525"/>
        </w:rPr>
        <w:t>institution’s</w:t>
      </w:r>
      <w:r>
        <w:rPr>
          <w:color w:val="252525"/>
          <w:spacing w:val="-11"/>
        </w:rPr>
        <w:t xml:space="preserve"> </w:t>
      </w:r>
      <w:r>
        <w:rPr>
          <w:color w:val="252525"/>
        </w:rPr>
        <w:t>financial</w:t>
      </w:r>
      <w:r>
        <w:rPr>
          <w:color w:val="252525"/>
          <w:spacing w:val="-13"/>
        </w:rPr>
        <w:t xml:space="preserve"> </w:t>
      </w:r>
      <w:r>
        <w:rPr>
          <w:color w:val="252525"/>
        </w:rPr>
        <w:t>position</w:t>
      </w:r>
      <w:r>
        <w:rPr>
          <w:color w:val="252525"/>
          <w:spacing w:val="-12"/>
        </w:rPr>
        <w:t xml:space="preserve"> </w:t>
      </w:r>
      <w:r>
        <w:rPr>
          <w:color w:val="252525"/>
        </w:rPr>
        <w:t>to</w:t>
      </w:r>
      <w:r>
        <w:rPr>
          <w:color w:val="252525"/>
          <w:spacing w:val="-13"/>
        </w:rPr>
        <w:t xml:space="preserve"> </w:t>
      </w:r>
      <w:r>
        <w:rPr>
          <w:color w:val="252525"/>
        </w:rPr>
        <w:t>the</w:t>
      </w:r>
      <w:r>
        <w:rPr>
          <w:color w:val="252525"/>
          <w:spacing w:val="-10"/>
        </w:rPr>
        <w:t xml:space="preserve"> </w:t>
      </w:r>
      <w:r>
        <w:rPr>
          <w:color w:val="252525"/>
        </w:rPr>
        <w:t>extent</w:t>
      </w:r>
      <w:r>
        <w:rPr>
          <w:color w:val="252525"/>
          <w:spacing w:val="-13"/>
        </w:rPr>
        <w:t xml:space="preserve"> </w:t>
      </w:r>
      <w:r>
        <w:rPr>
          <w:color w:val="252525"/>
        </w:rPr>
        <w:t>that</w:t>
      </w:r>
      <w:r>
        <w:rPr>
          <w:color w:val="252525"/>
          <w:spacing w:val="-13"/>
        </w:rPr>
        <w:t xml:space="preserve"> </w:t>
      </w:r>
      <w:r>
        <w:rPr>
          <w:color w:val="252525"/>
        </w:rPr>
        <w:t>the</w:t>
      </w:r>
      <w:r>
        <w:rPr>
          <w:color w:val="252525"/>
          <w:spacing w:val="-14"/>
        </w:rPr>
        <w:t xml:space="preserve"> </w:t>
      </w:r>
      <w:r>
        <w:rPr>
          <w:color w:val="252525"/>
        </w:rPr>
        <w:t>security</w:t>
      </w:r>
      <w:r>
        <w:rPr>
          <w:color w:val="252525"/>
          <w:spacing w:val="-11"/>
        </w:rPr>
        <w:t xml:space="preserve"> </w:t>
      </w:r>
      <w:r>
        <w:rPr>
          <w:color w:val="252525"/>
        </w:rPr>
        <w:t>of</w:t>
      </w:r>
      <w:r>
        <w:rPr>
          <w:color w:val="252525"/>
          <w:spacing w:val="-14"/>
        </w:rPr>
        <w:t xml:space="preserve"> </w:t>
      </w:r>
      <w:r>
        <w:rPr>
          <w:color w:val="252525"/>
        </w:rPr>
        <w:t>the</w:t>
      </w:r>
      <w:r>
        <w:rPr>
          <w:color w:val="252525"/>
          <w:spacing w:val="-14"/>
        </w:rPr>
        <w:t xml:space="preserve"> </w:t>
      </w:r>
      <w:r>
        <w:rPr>
          <w:color w:val="252525"/>
        </w:rPr>
        <w:t>deposit</w:t>
      </w:r>
    </w:p>
    <w:p w14:paraId="305F5EBE" w14:textId="3305286C" w:rsidR="00777944" w:rsidRDefault="00632D37">
      <w:pPr>
        <w:pStyle w:val="BodyText"/>
        <w:spacing w:before="41"/>
        <w:ind w:left="1518" w:right="173"/>
        <w:jc w:val="both"/>
      </w:pPr>
      <w:r>
        <w:rPr>
          <w:color w:val="252525"/>
        </w:rPr>
        <w:t>is considered at risk. In such circumstances, the Director of Finance will seek the early return of the deposit and will attempt to minimise the breakage costs of the early return.</w:t>
      </w:r>
    </w:p>
    <w:p w14:paraId="2166FF2A" w14:textId="77777777" w:rsidR="00777944" w:rsidRDefault="00777944">
      <w:pPr>
        <w:pStyle w:val="BodyText"/>
        <w:spacing w:before="9"/>
        <w:rPr>
          <w:sz w:val="19"/>
        </w:rPr>
      </w:pPr>
    </w:p>
    <w:p w14:paraId="0757BBF6" w14:textId="77777777" w:rsidR="00777944" w:rsidRDefault="00632D37">
      <w:pPr>
        <w:pStyle w:val="ListParagraph"/>
        <w:numPr>
          <w:ilvl w:val="2"/>
          <w:numId w:val="8"/>
        </w:numPr>
        <w:tabs>
          <w:tab w:val="left" w:pos="1519"/>
        </w:tabs>
        <w:spacing w:before="0"/>
      </w:pPr>
      <w:r>
        <w:rPr>
          <w:color w:val="252525"/>
        </w:rPr>
        <w:t>Credit and Counterparty Risk Management</w:t>
      </w:r>
      <w:r>
        <w:rPr>
          <w:color w:val="252525"/>
          <w:spacing w:val="-3"/>
        </w:rPr>
        <w:t xml:space="preserve"> </w:t>
      </w:r>
      <w:r>
        <w:rPr>
          <w:color w:val="252525"/>
        </w:rPr>
        <w:t>(Borrowings)</w:t>
      </w:r>
    </w:p>
    <w:p w14:paraId="4BD28DB4" w14:textId="77777777" w:rsidR="00777944" w:rsidRDefault="00632D37">
      <w:pPr>
        <w:pStyle w:val="BodyText"/>
        <w:spacing w:before="120"/>
        <w:ind w:left="1518"/>
        <w:jc w:val="both"/>
      </w:pPr>
      <w:r>
        <w:rPr>
          <w:color w:val="252525"/>
        </w:rPr>
        <w:t>The University may borrow from banks, other financial institutions and the bond markets.</w:t>
      </w:r>
    </w:p>
    <w:p w14:paraId="67931B37" w14:textId="77777777" w:rsidR="00777944" w:rsidRDefault="00632D37">
      <w:pPr>
        <w:pStyle w:val="BodyText"/>
        <w:spacing w:before="118"/>
        <w:ind w:left="1518" w:right="173"/>
        <w:jc w:val="both"/>
      </w:pPr>
      <w:r>
        <w:rPr>
          <w:color w:val="252525"/>
        </w:rPr>
        <w:t>Loan facilities will only be arranged with organisations that are judged by the Finance and Resources</w:t>
      </w:r>
      <w:r>
        <w:rPr>
          <w:color w:val="252525"/>
          <w:spacing w:val="-11"/>
        </w:rPr>
        <w:t xml:space="preserve"> </w:t>
      </w:r>
      <w:r>
        <w:rPr>
          <w:color w:val="252525"/>
        </w:rPr>
        <w:t>Committee</w:t>
      </w:r>
      <w:r>
        <w:rPr>
          <w:color w:val="252525"/>
          <w:spacing w:val="-9"/>
        </w:rPr>
        <w:t xml:space="preserve"> </w:t>
      </w:r>
      <w:r>
        <w:rPr>
          <w:color w:val="252525"/>
        </w:rPr>
        <w:t>to</w:t>
      </w:r>
      <w:r>
        <w:rPr>
          <w:color w:val="252525"/>
          <w:spacing w:val="-8"/>
        </w:rPr>
        <w:t xml:space="preserve"> </w:t>
      </w:r>
      <w:r>
        <w:rPr>
          <w:color w:val="252525"/>
        </w:rPr>
        <w:t>have</w:t>
      </w:r>
      <w:r>
        <w:rPr>
          <w:color w:val="252525"/>
          <w:spacing w:val="-11"/>
        </w:rPr>
        <w:t xml:space="preserve"> </w:t>
      </w:r>
      <w:r>
        <w:rPr>
          <w:color w:val="252525"/>
        </w:rPr>
        <w:t>sufficient</w:t>
      </w:r>
      <w:r>
        <w:rPr>
          <w:color w:val="252525"/>
          <w:spacing w:val="-9"/>
        </w:rPr>
        <w:t xml:space="preserve"> </w:t>
      </w:r>
      <w:r>
        <w:rPr>
          <w:color w:val="252525"/>
        </w:rPr>
        <w:t>financial</w:t>
      </w:r>
      <w:r>
        <w:rPr>
          <w:color w:val="252525"/>
          <w:spacing w:val="-10"/>
        </w:rPr>
        <w:t xml:space="preserve"> </w:t>
      </w:r>
      <w:r>
        <w:rPr>
          <w:color w:val="252525"/>
        </w:rPr>
        <w:t>strength</w:t>
      </w:r>
      <w:r>
        <w:rPr>
          <w:color w:val="252525"/>
          <w:spacing w:val="-8"/>
        </w:rPr>
        <w:t xml:space="preserve"> </w:t>
      </w:r>
      <w:r>
        <w:rPr>
          <w:color w:val="252525"/>
        </w:rPr>
        <w:t>to</w:t>
      </w:r>
      <w:r>
        <w:rPr>
          <w:color w:val="252525"/>
          <w:spacing w:val="-10"/>
        </w:rPr>
        <w:t xml:space="preserve"> </w:t>
      </w:r>
      <w:r>
        <w:rPr>
          <w:color w:val="252525"/>
        </w:rPr>
        <w:t>ensure</w:t>
      </w:r>
      <w:r>
        <w:rPr>
          <w:color w:val="252525"/>
          <w:spacing w:val="-10"/>
        </w:rPr>
        <w:t xml:space="preserve"> </w:t>
      </w:r>
      <w:r>
        <w:rPr>
          <w:color w:val="252525"/>
        </w:rPr>
        <w:t>that</w:t>
      </w:r>
      <w:r>
        <w:rPr>
          <w:color w:val="252525"/>
          <w:spacing w:val="-11"/>
        </w:rPr>
        <w:t xml:space="preserve"> </w:t>
      </w:r>
      <w:r>
        <w:rPr>
          <w:color w:val="252525"/>
        </w:rPr>
        <w:t>the</w:t>
      </w:r>
      <w:r>
        <w:rPr>
          <w:color w:val="252525"/>
          <w:spacing w:val="-10"/>
        </w:rPr>
        <w:t xml:space="preserve"> </w:t>
      </w:r>
      <w:r>
        <w:rPr>
          <w:color w:val="252525"/>
        </w:rPr>
        <w:t>funds</w:t>
      </w:r>
      <w:r>
        <w:rPr>
          <w:color w:val="252525"/>
          <w:spacing w:val="-9"/>
        </w:rPr>
        <w:t xml:space="preserve"> </w:t>
      </w:r>
      <w:r>
        <w:rPr>
          <w:color w:val="252525"/>
        </w:rPr>
        <w:t>committed under the facilities will be available as and when they are required by the University in accordance with the terms of the loan</w:t>
      </w:r>
      <w:r>
        <w:rPr>
          <w:color w:val="252525"/>
          <w:spacing w:val="-9"/>
        </w:rPr>
        <w:t xml:space="preserve"> </w:t>
      </w:r>
      <w:r>
        <w:rPr>
          <w:color w:val="252525"/>
        </w:rPr>
        <w:t>arrangement.</w:t>
      </w:r>
    </w:p>
    <w:p w14:paraId="26587055" w14:textId="77777777" w:rsidR="00777944" w:rsidRDefault="00777944">
      <w:pPr>
        <w:pStyle w:val="BodyText"/>
        <w:spacing w:before="9"/>
        <w:rPr>
          <w:sz w:val="21"/>
        </w:rPr>
      </w:pPr>
    </w:p>
    <w:p w14:paraId="29DA394F" w14:textId="77777777" w:rsidR="00777944" w:rsidRDefault="00632D37">
      <w:pPr>
        <w:pStyle w:val="ListParagraph"/>
        <w:numPr>
          <w:ilvl w:val="2"/>
          <w:numId w:val="8"/>
        </w:numPr>
        <w:tabs>
          <w:tab w:val="left" w:pos="1519"/>
        </w:tabs>
        <w:spacing w:before="0"/>
      </w:pPr>
      <w:r>
        <w:rPr>
          <w:color w:val="252525"/>
        </w:rPr>
        <w:t>Refinancing Risk</w:t>
      </w:r>
      <w:r>
        <w:rPr>
          <w:color w:val="252525"/>
          <w:spacing w:val="-3"/>
        </w:rPr>
        <w:t xml:space="preserve"> </w:t>
      </w:r>
      <w:r>
        <w:rPr>
          <w:color w:val="252525"/>
        </w:rPr>
        <w:t>Management</w:t>
      </w:r>
    </w:p>
    <w:p w14:paraId="33D549AA" w14:textId="77777777" w:rsidR="00777944" w:rsidRDefault="00632D37">
      <w:pPr>
        <w:pStyle w:val="BodyText"/>
        <w:spacing w:before="120"/>
        <w:ind w:left="1518" w:right="175"/>
        <w:jc w:val="both"/>
      </w:pPr>
      <w:r>
        <w:rPr>
          <w:color w:val="252525"/>
        </w:rPr>
        <w:t>The University will seek to eliminate refinancing risk by borrowing long term and only in respect of projects where there is a robust business plan which will generate sufficient cash surpluses to cover the borrowing costs (revenue and capital) over the life of the project.</w:t>
      </w:r>
    </w:p>
    <w:p w14:paraId="1877E0EB" w14:textId="77777777" w:rsidR="00777944" w:rsidRDefault="00632D37">
      <w:pPr>
        <w:pStyle w:val="BodyText"/>
        <w:spacing w:before="121"/>
        <w:ind w:left="1518" w:right="175"/>
        <w:jc w:val="both"/>
      </w:pPr>
      <w:r>
        <w:rPr>
          <w:color w:val="252525"/>
        </w:rPr>
        <w:t>To the extent this is not possible, the University will ensure that its financing arrangements are</w:t>
      </w:r>
      <w:r>
        <w:rPr>
          <w:color w:val="252525"/>
          <w:spacing w:val="-6"/>
        </w:rPr>
        <w:t xml:space="preserve"> </w:t>
      </w:r>
      <w:r>
        <w:rPr>
          <w:color w:val="252525"/>
        </w:rPr>
        <w:t>structured</w:t>
      </w:r>
      <w:r>
        <w:rPr>
          <w:color w:val="252525"/>
          <w:spacing w:val="-6"/>
        </w:rPr>
        <w:t xml:space="preserve"> </w:t>
      </w:r>
      <w:r>
        <w:rPr>
          <w:color w:val="252525"/>
        </w:rPr>
        <w:t>with</w:t>
      </w:r>
      <w:r>
        <w:rPr>
          <w:color w:val="252525"/>
          <w:spacing w:val="-6"/>
        </w:rPr>
        <w:t xml:space="preserve"> </w:t>
      </w:r>
      <w:r>
        <w:rPr>
          <w:color w:val="252525"/>
        </w:rPr>
        <w:t>a</w:t>
      </w:r>
      <w:r>
        <w:rPr>
          <w:color w:val="252525"/>
          <w:spacing w:val="-6"/>
        </w:rPr>
        <w:t xml:space="preserve"> </w:t>
      </w:r>
      <w:r>
        <w:rPr>
          <w:color w:val="252525"/>
        </w:rPr>
        <w:t>view</w:t>
      </w:r>
      <w:r>
        <w:rPr>
          <w:color w:val="252525"/>
          <w:spacing w:val="-5"/>
        </w:rPr>
        <w:t xml:space="preserve"> </w:t>
      </w:r>
      <w:r>
        <w:rPr>
          <w:color w:val="252525"/>
        </w:rPr>
        <w:t>to</w:t>
      </w:r>
      <w:r>
        <w:rPr>
          <w:color w:val="252525"/>
          <w:spacing w:val="-3"/>
        </w:rPr>
        <w:t xml:space="preserve"> </w:t>
      </w:r>
      <w:r>
        <w:rPr>
          <w:color w:val="252525"/>
        </w:rPr>
        <w:t>obtaining</w:t>
      </w:r>
      <w:r>
        <w:rPr>
          <w:color w:val="252525"/>
          <w:spacing w:val="-6"/>
        </w:rPr>
        <w:t xml:space="preserve"> </w:t>
      </w:r>
      <w:r>
        <w:rPr>
          <w:color w:val="252525"/>
        </w:rPr>
        <w:t>competitive</w:t>
      </w:r>
      <w:r>
        <w:rPr>
          <w:color w:val="252525"/>
          <w:spacing w:val="-5"/>
        </w:rPr>
        <w:t xml:space="preserve"> </w:t>
      </w:r>
      <w:r>
        <w:rPr>
          <w:color w:val="252525"/>
        </w:rPr>
        <w:t>and</w:t>
      </w:r>
      <w:r>
        <w:rPr>
          <w:color w:val="252525"/>
          <w:spacing w:val="-6"/>
        </w:rPr>
        <w:t xml:space="preserve"> </w:t>
      </w:r>
      <w:r>
        <w:rPr>
          <w:color w:val="252525"/>
        </w:rPr>
        <w:t>favourable</w:t>
      </w:r>
      <w:r>
        <w:rPr>
          <w:color w:val="252525"/>
          <w:spacing w:val="-8"/>
        </w:rPr>
        <w:t xml:space="preserve"> </w:t>
      </w:r>
      <w:r>
        <w:rPr>
          <w:color w:val="252525"/>
        </w:rPr>
        <w:t>offer</w:t>
      </w:r>
      <w:r>
        <w:rPr>
          <w:color w:val="252525"/>
          <w:spacing w:val="-5"/>
        </w:rPr>
        <w:t xml:space="preserve"> </w:t>
      </w:r>
      <w:r>
        <w:rPr>
          <w:color w:val="252525"/>
        </w:rPr>
        <w:t>terms</w:t>
      </w:r>
      <w:r>
        <w:rPr>
          <w:color w:val="252525"/>
          <w:spacing w:val="-6"/>
        </w:rPr>
        <w:t xml:space="preserve"> </w:t>
      </w:r>
      <w:r>
        <w:rPr>
          <w:color w:val="252525"/>
        </w:rPr>
        <w:t>for</w:t>
      </w:r>
      <w:r>
        <w:rPr>
          <w:color w:val="252525"/>
          <w:spacing w:val="-6"/>
        </w:rPr>
        <w:t xml:space="preserve"> </w:t>
      </w:r>
      <w:r>
        <w:rPr>
          <w:color w:val="252525"/>
        </w:rPr>
        <w:t>renewal</w:t>
      </w:r>
      <w:r>
        <w:rPr>
          <w:color w:val="252525"/>
          <w:spacing w:val="-6"/>
        </w:rPr>
        <w:t xml:space="preserve"> </w:t>
      </w:r>
      <w:r>
        <w:rPr>
          <w:color w:val="252525"/>
        </w:rPr>
        <w:t>or refinancing, if required.</w:t>
      </w:r>
    </w:p>
    <w:p w14:paraId="49FC48E6" w14:textId="77777777" w:rsidR="00777944" w:rsidRDefault="00632D37">
      <w:pPr>
        <w:pStyle w:val="BodyText"/>
        <w:spacing w:before="119"/>
        <w:ind w:left="1518" w:right="176"/>
        <w:jc w:val="both"/>
      </w:pPr>
      <w:r>
        <w:rPr>
          <w:color w:val="252525"/>
        </w:rPr>
        <w:t>The University will actively manage its relationships with its counterparties in these transactions in such a manner as to secure this objective, and will avoid over reliance on any one source of funding if this might jeopardise achievement of the above.</w:t>
      </w:r>
    </w:p>
    <w:p w14:paraId="11EDC519" w14:textId="77777777" w:rsidR="00777944" w:rsidRDefault="00777944">
      <w:pPr>
        <w:pStyle w:val="BodyText"/>
        <w:spacing w:before="8"/>
        <w:rPr>
          <w:sz w:val="21"/>
        </w:rPr>
      </w:pPr>
    </w:p>
    <w:p w14:paraId="69AF14A4" w14:textId="77777777" w:rsidR="00777944" w:rsidRDefault="00632D37">
      <w:pPr>
        <w:pStyle w:val="ListParagraph"/>
        <w:numPr>
          <w:ilvl w:val="2"/>
          <w:numId w:val="8"/>
        </w:numPr>
        <w:tabs>
          <w:tab w:val="left" w:pos="1519"/>
        </w:tabs>
        <w:spacing w:before="0"/>
      </w:pPr>
      <w:r>
        <w:rPr>
          <w:color w:val="252525"/>
        </w:rPr>
        <w:t>Covenant Breach Risk</w:t>
      </w:r>
      <w:r>
        <w:rPr>
          <w:color w:val="252525"/>
          <w:spacing w:val="-4"/>
        </w:rPr>
        <w:t xml:space="preserve"> </w:t>
      </w:r>
      <w:r>
        <w:rPr>
          <w:color w:val="252525"/>
        </w:rPr>
        <w:t>Management</w:t>
      </w:r>
    </w:p>
    <w:p w14:paraId="7CB7B922" w14:textId="77777777" w:rsidR="00777944" w:rsidRDefault="00632D37">
      <w:pPr>
        <w:pStyle w:val="BodyText"/>
        <w:spacing w:before="121"/>
        <w:ind w:left="1518" w:right="116"/>
        <w:jc w:val="both"/>
      </w:pPr>
      <w:r>
        <w:rPr>
          <w:color w:val="252525"/>
        </w:rPr>
        <w:t>The University recognises the risk that failure to meet terms set by lenders and other funders may lead to default on loan(s) and the resulting withdrawal of credit facilities. Certain terms may also be secured against the University’s estate. Moreover, default on any individual loan will</w:t>
      </w:r>
      <w:r>
        <w:rPr>
          <w:color w:val="252525"/>
          <w:spacing w:val="-13"/>
        </w:rPr>
        <w:t xml:space="preserve"> </w:t>
      </w:r>
      <w:r>
        <w:rPr>
          <w:color w:val="252525"/>
        </w:rPr>
        <w:t>trigger</w:t>
      </w:r>
      <w:r>
        <w:rPr>
          <w:color w:val="252525"/>
          <w:spacing w:val="-12"/>
        </w:rPr>
        <w:t xml:space="preserve"> </w:t>
      </w:r>
      <w:r>
        <w:rPr>
          <w:color w:val="252525"/>
        </w:rPr>
        <w:t>the</w:t>
      </w:r>
      <w:r>
        <w:rPr>
          <w:color w:val="252525"/>
          <w:spacing w:val="-12"/>
        </w:rPr>
        <w:t xml:space="preserve"> </w:t>
      </w:r>
      <w:r>
        <w:rPr>
          <w:color w:val="252525"/>
        </w:rPr>
        <w:t>cross-default</w:t>
      </w:r>
      <w:r>
        <w:rPr>
          <w:color w:val="252525"/>
          <w:spacing w:val="-12"/>
        </w:rPr>
        <w:t xml:space="preserve"> </w:t>
      </w:r>
      <w:r>
        <w:rPr>
          <w:color w:val="252525"/>
        </w:rPr>
        <w:t>clauses</w:t>
      </w:r>
      <w:r>
        <w:rPr>
          <w:color w:val="252525"/>
          <w:spacing w:val="-11"/>
        </w:rPr>
        <w:t xml:space="preserve"> </w:t>
      </w:r>
      <w:r>
        <w:rPr>
          <w:color w:val="252525"/>
        </w:rPr>
        <w:t>in</w:t>
      </w:r>
      <w:r>
        <w:rPr>
          <w:color w:val="252525"/>
          <w:spacing w:val="-14"/>
        </w:rPr>
        <w:t xml:space="preserve"> </w:t>
      </w:r>
      <w:r>
        <w:rPr>
          <w:color w:val="252525"/>
        </w:rPr>
        <w:t>other</w:t>
      </w:r>
      <w:r>
        <w:rPr>
          <w:color w:val="252525"/>
          <w:spacing w:val="-12"/>
        </w:rPr>
        <w:t xml:space="preserve"> </w:t>
      </w:r>
      <w:r>
        <w:rPr>
          <w:color w:val="252525"/>
        </w:rPr>
        <w:t>loan</w:t>
      </w:r>
      <w:r>
        <w:rPr>
          <w:color w:val="252525"/>
          <w:spacing w:val="-14"/>
        </w:rPr>
        <w:t xml:space="preserve"> </w:t>
      </w:r>
      <w:r>
        <w:rPr>
          <w:color w:val="252525"/>
        </w:rPr>
        <w:t>agreements</w:t>
      </w:r>
      <w:r>
        <w:rPr>
          <w:color w:val="252525"/>
          <w:spacing w:val="-12"/>
        </w:rPr>
        <w:t xml:space="preserve"> </w:t>
      </w:r>
      <w:r>
        <w:rPr>
          <w:color w:val="252525"/>
        </w:rPr>
        <w:t>with</w:t>
      </w:r>
      <w:r>
        <w:rPr>
          <w:color w:val="252525"/>
          <w:spacing w:val="-12"/>
        </w:rPr>
        <w:t xml:space="preserve"> </w:t>
      </w:r>
      <w:r>
        <w:rPr>
          <w:color w:val="252525"/>
        </w:rPr>
        <w:t>the</w:t>
      </w:r>
      <w:r>
        <w:rPr>
          <w:color w:val="252525"/>
          <w:spacing w:val="-12"/>
        </w:rPr>
        <w:t xml:space="preserve"> </w:t>
      </w:r>
      <w:r>
        <w:rPr>
          <w:color w:val="252525"/>
        </w:rPr>
        <w:t>same</w:t>
      </w:r>
      <w:r>
        <w:rPr>
          <w:color w:val="252525"/>
          <w:spacing w:val="-11"/>
        </w:rPr>
        <w:t xml:space="preserve"> </w:t>
      </w:r>
      <w:r>
        <w:rPr>
          <w:color w:val="252525"/>
        </w:rPr>
        <w:t>and</w:t>
      </w:r>
      <w:r>
        <w:rPr>
          <w:color w:val="252525"/>
          <w:spacing w:val="-14"/>
        </w:rPr>
        <w:t xml:space="preserve"> </w:t>
      </w:r>
      <w:r>
        <w:rPr>
          <w:color w:val="252525"/>
        </w:rPr>
        <w:t>other</w:t>
      </w:r>
      <w:r>
        <w:rPr>
          <w:color w:val="252525"/>
          <w:spacing w:val="-12"/>
        </w:rPr>
        <w:t xml:space="preserve"> </w:t>
      </w:r>
      <w:r>
        <w:rPr>
          <w:color w:val="252525"/>
        </w:rPr>
        <w:t>lenders.</w:t>
      </w:r>
    </w:p>
    <w:p w14:paraId="2F463A39" w14:textId="77777777" w:rsidR="00777944" w:rsidRDefault="00632D37">
      <w:pPr>
        <w:pStyle w:val="BodyText"/>
        <w:spacing w:before="121"/>
        <w:ind w:left="1518" w:right="175"/>
        <w:jc w:val="both"/>
      </w:pPr>
      <w:r>
        <w:rPr>
          <w:color w:val="252525"/>
        </w:rPr>
        <w:t>The University will seek to minimise the risk of covenant breach by ensuring, where possible, that any new financing arrangements do not contain more onerous financial covenants than existing loan agreements.</w:t>
      </w:r>
    </w:p>
    <w:p w14:paraId="343473B3" w14:textId="31CFF4ED" w:rsidR="00777944" w:rsidRDefault="00632D37">
      <w:pPr>
        <w:pStyle w:val="BodyText"/>
        <w:spacing w:before="118"/>
        <w:ind w:left="1518" w:right="177"/>
        <w:jc w:val="both"/>
      </w:pPr>
      <w:r>
        <w:rPr>
          <w:color w:val="252525"/>
        </w:rPr>
        <w:t xml:space="preserve">The University will monitor and report on loan covenant compliance </w:t>
      </w:r>
      <w:r w:rsidR="008D2D4D">
        <w:rPr>
          <w:color w:val="252525"/>
        </w:rPr>
        <w:t>via the Management Accounts Pack to VCG, Committees and Banks.</w:t>
      </w:r>
    </w:p>
    <w:p w14:paraId="5E8B44F3" w14:textId="77777777" w:rsidR="00777944" w:rsidRDefault="00777944">
      <w:pPr>
        <w:pStyle w:val="BodyText"/>
        <w:spacing w:before="9"/>
        <w:rPr>
          <w:sz w:val="19"/>
        </w:rPr>
      </w:pPr>
    </w:p>
    <w:p w14:paraId="1FE104A2" w14:textId="4169B480" w:rsidR="00777944" w:rsidRDefault="00632D37">
      <w:pPr>
        <w:pStyle w:val="ListParagraph"/>
        <w:numPr>
          <w:ilvl w:val="2"/>
          <w:numId w:val="8"/>
        </w:numPr>
        <w:tabs>
          <w:tab w:val="left" w:pos="1518"/>
          <w:tab w:val="left" w:pos="1519"/>
        </w:tabs>
        <w:spacing w:before="0"/>
      </w:pPr>
      <w:r>
        <w:rPr>
          <w:color w:val="252525"/>
        </w:rPr>
        <w:t>Legal and Regulatory Risk</w:t>
      </w:r>
      <w:r>
        <w:rPr>
          <w:color w:val="252525"/>
          <w:spacing w:val="-4"/>
        </w:rPr>
        <w:t xml:space="preserve"> </w:t>
      </w:r>
      <w:r>
        <w:rPr>
          <w:color w:val="252525"/>
        </w:rPr>
        <w:t>Management</w:t>
      </w:r>
    </w:p>
    <w:p w14:paraId="167B72FA" w14:textId="5F53D7DF" w:rsidR="00777944" w:rsidRDefault="00632D37">
      <w:pPr>
        <w:pStyle w:val="BodyText"/>
        <w:spacing w:before="120"/>
        <w:ind w:left="1518"/>
      </w:pPr>
      <w:r>
        <w:rPr>
          <w:color w:val="252525"/>
        </w:rPr>
        <w:t>The University will ensure that it does not breach its constitutional and statutory powers</w:t>
      </w:r>
      <w:r>
        <w:rPr>
          <w:color w:val="252525"/>
          <w:spacing w:val="4"/>
        </w:rPr>
        <w:t xml:space="preserve"> </w:t>
      </w:r>
      <w:r>
        <w:rPr>
          <w:color w:val="252525"/>
        </w:rPr>
        <w:t>and</w:t>
      </w:r>
    </w:p>
    <w:p w14:paraId="18F6962C" w14:textId="6827FB83" w:rsidR="00777944" w:rsidRDefault="00632D37">
      <w:pPr>
        <w:pStyle w:val="BodyText"/>
        <w:spacing w:before="1"/>
        <w:ind w:left="1518"/>
      </w:pPr>
      <w:r>
        <w:rPr>
          <w:color w:val="252525"/>
        </w:rPr>
        <w:t>regulatory</w:t>
      </w:r>
      <w:r>
        <w:rPr>
          <w:color w:val="252525"/>
          <w:spacing w:val="42"/>
        </w:rPr>
        <w:t xml:space="preserve"> </w:t>
      </w:r>
      <w:r>
        <w:rPr>
          <w:color w:val="252525"/>
        </w:rPr>
        <w:t>requirements.</w:t>
      </w:r>
      <w:r>
        <w:rPr>
          <w:color w:val="252525"/>
          <w:spacing w:val="42"/>
        </w:rPr>
        <w:t xml:space="preserve"> </w:t>
      </w:r>
      <w:r>
        <w:rPr>
          <w:color w:val="252525"/>
        </w:rPr>
        <w:t>It</w:t>
      </w:r>
      <w:r>
        <w:rPr>
          <w:color w:val="252525"/>
          <w:spacing w:val="43"/>
        </w:rPr>
        <w:t xml:space="preserve"> </w:t>
      </w:r>
      <w:r>
        <w:rPr>
          <w:color w:val="252525"/>
        </w:rPr>
        <w:t>will</w:t>
      </w:r>
      <w:r>
        <w:rPr>
          <w:color w:val="252525"/>
          <w:spacing w:val="39"/>
        </w:rPr>
        <w:t xml:space="preserve"> </w:t>
      </w:r>
      <w:r>
        <w:rPr>
          <w:color w:val="252525"/>
        </w:rPr>
        <w:t>ensure</w:t>
      </w:r>
      <w:r>
        <w:rPr>
          <w:color w:val="252525"/>
          <w:spacing w:val="40"/>
        </w:rPr>
        <w:t xml:space="preserve"> </w:t>
      </w:r>
      <w:r>
        <w:rPr>
          <w:color w:val="252525"/>
        </w:rPr>
        <w:t>that</w:t>
      </w:r>
      <w:r>
        <w:rPr>
          <w:color w:val="252525"/>
          <w:spacing w:val="40"/>
        </w:rPr>
        <w:t xml:space="preserve"> </w:t>
      </w:r>
      <w:r>
        <w:rPr>
          <w:color w:val="252525"/>
        </w:rPr>
        <w:t>there</w:t>
      </w:r>
      <w:r>
        <w:rPr>
          <w:color w:val="252525"/>
          <w:spacing w:val="43"/>
        </w:rPr>
        <w:t xml:space="preserve"> </w:t>
      </w:r>
      <w:r>
        <w:rPr>
          <w:color w:val="252525"/>
        </w:rPr>
        <w:t>is</w:t>
      </w:r>
      <w:r>
        <w:rPr>
          <w:color w:val="252525"/>
          <w:spacing w:val="40"/>
        </w:rPr>
        <w:t xml:space="preserve"> </w:t>
      </w:r>
      <w:r>
        <w:rPr>
          <w:color w:val="252525"/>
        </w:rPr>
        <w:t>evidence</w:t>
      </w:r>
      <w:r>
        <w:rPr>
          <w:color w:val="252525"/>
          <w:spacing w:val="41"/>
        </w:rPr>
        <w:t xml:space="preserve"> </w:t>
      </w:r>
      <w:r>
        <w:rPr>
          <w:color w:val="252525"/>
        </w:rPr>
        <w:t>of</w:t>
      </w:r>
      <w:r>
        <w:rPr>
          <w:color w:val="252525"/>
          <w:spacing w:val="40"/>
        </w:rPr>
        <w:t xml:space="preserve"> </w:t>
      </w:r>
      <w:r>
        <w:rPr>
          <w:color w:val="252525"/>
        </w:rPr>
        <w:t>counterparties’</w:t>
      </w:r>
      <w:r>
        <w:rPr>
          <w:color w:val="252525"/>
          <w:spacing w:val="43"/>
        </w:rPr>
        <w:t xml:space="preserve"> </w:t>
      </w:r>
      <w:r>
        <w:rPr>
          <w:color w:val="252525"/>
        </w:rPr>
        <w:t>powers,</w:t>
      </w:r>
    </w:p>
    <w:p w14:paraId="607F6FD0" w14:textId="32A0D46B" w:rsidR="00777944" w:rsidRDefault="00632D37">
      <w:pPr>
        <w:pStyle w:val="BodyText"/>
        <w:spacing w:before="41"/>
        <w:ind w:left="1518" w:right="173"/>
        <w:jc w:val="both"/>
      </w:pPr>
      <w:r>
        <w:rPr>
          <w:color w:val="252525"/>
        </w:rPr>
        <w:t>authority and compliance in respect of the transactions they may enter into with the University.</w:t>
      </w:r>
    </w:p>
    <w:p w14:paraId="13F15628" w14:textId="79CD783F" w:rsidR="00777944" w:rsidRDefault="00632D37">
      <w:pPr>
        <w:pStyle w:val="BodyText"/>
        <w:spacing w:before="121"/>
        <w:ind w:left="1518" w:right="173"/>
        <w:jc w:val="both"/>
      </w:pPr>
      <w:r>
        <w:rPr>
          <w:color w:val="252525"/>
        </w:rPr>
        <w:t>In</w:t>
      </w:r>
      <w:r>
        <w:rPr>
          <w:color w:val="252525"/>
          <w:spacing w:val="-4"/>
        </w:rPr>
        <w:t xml:space="preserve"> </w:t>
      </w:r>
      <w:r>
        <w:rPr>
          <w:color w:val="252525"/>
        </w:rPr>
        <w:t>so</w:t>
      </w:r>
      <w:r>
        <w:rPr>
          <w:color w:val="252525"/>
          <w:spacing w:val="-1"/>
        </w:rPr>
        <w:t xml:space="preserve"> </w:t>
      </w:r>
      <w:r>
        <w:rPr>
          <w:color w:val="252525"/>
        </w:rPr>
        <w:t>far</w:t>
      </w:r>
      <w:r>
        <w:rPr>
          <w:color w:val="252525"/>
          <w:spacing w:val="-6"/>
        </w:rPr>
        <w:t xml:space="preserve"> </w:t>
      </w:r>
      <w:r>
        <w:rPr>
          <w:color w:val="252525"/>
        </w:rPr>
        <w:t>as</w:t>
      </w:r>
      <w:r>
        <w:rPr>
          <w:color w:val="252525"/>
          <w:spacing w:val="-2"/>
        </w:rPr>
        <w:t xml:space="preserve"> </w:t>
      </w:r>
      <w:r>
        <w:rPr>
          <w:color w:val="252525"/>
        </w:rPr>
        <w:t>it</w:t>
      </w:r>
      <w:r>
        <w:rPr>
          <w:color w:val="252525"/>
          <w:spacing w:val="-2"/>
        </w:rPr>
        <w:t xml:space="preserve"> </w:t>
      </w:r>
      <w:r>
        <w:rPr>
          <w:color w:val="252525"/>
        </w:rPr>
        <w:t>is</w:t>
      </w:r>
      <w:r>
        <w:rPr>
          <w:color w:val="252525"/>
          <w:spacing w:val="-6"/>
        </w:rPr>
        <w:t xml:space="preserve"> </w:t>
      </w:r>
      <w:r>
        <w:rPr>
          <w:color w:val="252525"/>
        </w:rPr>
        <w:t>reasonably</w:t>
      </w:r>
      <w:r>
        <w:rPr>
          <w:color w:val="252525"/>
          <w:spacing w:val="-4"/>
        </w:rPr>
        <w:t xml:space="preserve"> </w:t>
      </w:r>
      <w:r>
        <w:rPr>
          <w:color w:val="252525"/>
        </w:rPr>
        <w:t>able</w:t>
      </w:r>
      <w:r>
        <w:rPr>
          <w:color w:val="252525"/>
          <w:spacing w:val="-3"/>
        </w:rPr>
        <w:t xml:space="preserve"> </w:t>
      </w:r>
      <w:r>
        <w:rPr>
          <w:color w:val="252525"/>
        </w:rPr>
        <w:t>to</w:t>
      </w:r>
      <w:r>
        <w:rPr>
          <w:color w:val="252525"/>
          <w:spacing w:val="-1"/>
        </w:rPr>
        <w:t xml:space="preserve"> </w:t>
      </w:r>
      <w:r>
        <w:rPr>
          <w:color w:val="252525"/>
        </w:rPr>
        <w:t>do</w:t>
      </w:r>
      <w:r>
        <w:rPr>
          <w:color w:val="252525"/>
          <w:spacing w:val="-3"/>
        </w:rPr>
        <w:t xml:space="preserve"> </w:t>
      </w:r>
      <w:r>
        <w:rPr>
          <w:color w:val="252525"/>
        </w:rPr>
        <w:t>so,</w:t>
      </w:r>
      <w:r>
        <w:rPr>
          <w:color w:val="252525"/>
          <w:spacing w:val="-3"/>
        </w:rPr>
        <w:t xml:space="preserve"> </w:t>
      </w:r>
      <w:r>
        <w:rPr>
          <w:color w:val="252525"/>
        </w:rPr>
        <w:t>the</w:t>
      </w:r>
      <w:r>
        <w:rPr>
          <w:color w:val="252525"/>
          <w:spacing w:val="-2"/>
        </w:rPr>
        <w:t xml:space="preserve"> </w:t>
      </w:r>
      <w:r>
        <w:rPr>
          <w:color w:val="252525"/>
        </w:rPr>
        <w:t>University</w:t>
      </w:r>
      <w:r>
        <w:rPr>
          <w:color w:val="252525"/>
          <w:spacing w:val="-3"/>
        </w:rPr>
        <w:t xml:space="preserve"> </w:t>
      </w:r>
      <w:r>
        <w:rPr>
          <w:color w:val="252525"/>
        </w:rPr>
        <w:t>will</w:t>
      </w:r>
      <w:r>
        <w:rPr>
          <w:color w:val="252525"/>
          <w:spacing w:val="-5"/>
        </w:rPr>
        <w:t xml:space="preserve"> </w:t>
      </w:r>
      <w:r>
        <w:rPr>
          <w:color w:val="252525"/>
        </w:rPr>
        <w:t>seek</w:t>
      </w:r>
      <w:r>
        <w:rPr>
          <w:color w:val="252525"/>
          <w:spacing w:val="-4"/>
        </w:rPr>
        <w:t xml:space="preserve"> </w:t>
      </w:r>
      <w:r>
        <w:rPr>
          <w:color w:val="252525"/>
        </w:rPr>
        <w:t>to</w:t>
      </w:r>
      <w:r>
        <w:rPr>
          <w:color w:val="252525"/>
          <w:spacing w:val="-4"/>
        </w:rPr>
        <w:t xml:space="preserve"> </w:t>
      </w:r>
      <w:r>
        <w:rPr>
          <w:color w:val="252525"/>
        </w:rPr>
        <w:t>minimise</w:t>
      </w:r>
      <w:r>
        <w:rPr>
          <w:color w:val="252525"/>
          <w:spacing w:val="-4"/>
        </w:rPr>
        <w:t xml:space="preserve"> </w:t>
      </w:r>
      <w:r>
        <w:rPr>
          <w:color w:val="252525"/>
        </w:rPr>
        <w:t>the</w:t>
      </w:r>
      <w:r>
        <w:rPr>
          <w:color w:val="252525"/>
          <w:spacing w:val="-8"/>
        </w:rPr>
        <w:t xml:space="preserve"> </w:t>
      </w:r>
      <w:r>
        <w:rPr>
          <w:color w:val="252525"/>
        </w:rPr>
        <w:t>risk</w:t>
      </w:r>
      <w:r>
        <w:rPr>
          <w:color w:val="252525"/>
          <w:spacing w:val="-5"/>
        </w:rPr>
        <w:t xml:space="preserve"> </w:t>
      </w:r>
      <w:r>
        <w:rPr>
          <w:color w:val="252525"/>
        </w:rPr>
        <w:t>of</w:t>
      </w:r>
      <w:r>
        <w:rPr>
          <w:color w:val="252525"/>
          <w:spacing w:val="-2"/>
        </w:rPr>
        <w:t xml:space="preserve"> </w:t>
      </w:r>
      <w:r>
        <w:rPr>
          <w:color w:val="252525"/>
        </w:rPr>
        <w:t>future legislative or regulatory changes impacting adversely on the</w:t>
      </w:r>
      <w:r>
        <w:rPr>
          <w:color w:val="252525"/>
          <w:spacing w:val="-10"/>
        </w:rPr>
        <w:t xml:space="preserve"> </w:t>
      </w:r>
      <w:r>
        <w:rPr>
          <w:color w:val="252525"/>
        </w:rPr>
        <w:t>organisation.</w:t>
      </w:r>
    </w:p>
    <w:p w14:paraId="382F9807" w14:textId="77777777" w:rsidR="00777944" w:rsidRDefault="00777944">
      <w:pPr>
        <w:pStyle w:val="BodyText"/>
        <w:spacing w:before="6"/>
        <w:rPr>
          <w:sz w:val="19"/>
        </w:rPr>
      </w:pPr>
    </w:p>
    <w:p w14:paraId="14E80788" w14:textId="77777777" w:rsidR="00777944" w:rsidRDefault="00632D37">
      <w:pPr>
        <w:pStyle w:val="ListParagraph"/>
        <w:numPr>
          <w:ilvl w:val="2"/>
          <w:numId w:val="8"/>
        </w:numPr>
        <w:tabs>
          <w:tab w:val="left" w:pos="1519"/>
        </w:tabs>
        <w:spacing w:before="0"/>
      </w:pPr>
      <w:r>
        <w:rPr>
          <w:color w:val="252525"/>
        </w:rPr>
        <w:t>Fraud, Error and Corruption, and Contingency</w:t>
      </w:r>
      <w:r>
        <w:rPr>
          <w:color w:val="252525"/>
          <w:spacing w:val="-8"/>
        </w:rPr>
        <w:t xml:space="preserve"> </w:t>
      </w:r>
      <w:r>
        <w:rPr>
          <w:color w:val="252525"/>
        </w:rPr>
        <w:t>Management</w:t>
      </w:r>
    </w:p>
    <w:p w14:paraId="2475AEB8" w14:textId="77777777" w:rsidR="00777944" w:rsidRDefault="00632D37">
      <w:pPr>
        <w:pStyle w:val="BodyText"/>
        <w:spacing w:before="120"/>
        <w:ind w:left="1518" w:right="174"/>
        <w:jc w:val="both"/>
      </w:pPr>
      <w:r>
        <w:rPr>
          <w:color w:val="252525"/>
        </w:rPr>
        <w:t>The University will ensure that it identifies the circumstances which may expose it to the risk of loss through fraud, error, corruption or other eventualities in its treasury management dealings. It will employ suitable systems and procedures, and will maintain effective contingency management arrangements, to these ends.</w:t>
      </w:r>
    </w:p>
    <w:p w14:paraId="51BC992B" w14:textId="77777777" w:rsidR="00777944" w:rsidRDefault="00632D37">
      <w:pPr>
        <w:pStyle w:val="BodyText"/>
        <w:spacing w:before="121"/>
        <w:ind w:left="1518" w:right="172"/>
        <w:jc w:val="both"/>
      </w:pPr>
      <w:r w:rsidRPr="00F62DCF">
        <w:rPr>
          <w:color w:val="252525"/>
        </w:rPr>
        <w:t>The University will maintain cover under its insurance policies against direct financial loss caused by crime.</w:t>
      </w:r>
    </w:p>
    <w:p w14:paraId="6656BD86" w14:textId="6C77203D" w:rsidR="00777944" w:rsidRDefault="00777944">
      <w:pPr>
        <w:pStyle w:val="BodyText"/>
        <w:spacing w:before="5"/>
        <w:rPr>
          <w:sz w:val="25"/>
        </w:rPr>
      </w:pPr>
    </w:p>
    <w:p w14:paraId="28B1BC29" w14:textId="01B5EA6A"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Liquidity</w:t>
      </w:r>
    </w:p>
    <w:p w14:paraId="458C3BBF" w14:textId="1354DFC7" w:rsidR="00777944" w:rsidRPr="00FB126E" w:rsidRDefault="00632D37" w:rsidP="00FB126E">
      <w:pPr>
        <w:pStyle w:val="ListParagraph"/>
        <w:numPr>
          <w:ilvl w:val="0"/>
          <w:numId w:val="19"/>
        </w:numPr>
        <w:spacing w:before="0" w:after="120"/>
        <w:ind w:left="851" w:hanging="752"/>
        <w:rPr>
          <w:color w:val="252525"/>
        </w:rPr>
      </w:pPr>
      <w:r>
        <w:rPr>
          <w:color w:val="252525"/>
        </w:rPr>
        <w:t>The University’s policy is to retain cash balances of at least £</w:t>
      </w:r>
      <w:r w:rsidR="00791453">
        <w:rPr>
          <w:color w:val="252525"/>
        </w:rPr>
        <w:t>5m</w:t>
      </w:r>
      <w:r w:rsidR="008A5510">
        <w:rPr>
          <w:color w:val="252525"/>
        </w:rPr>
        <w:t xml:space="preserve"> </w:t>
      </w:r>
      <w:r>
        <w:rPr>
          <w:color w:val="252525"/>
        </w:rPr>
        <w:t>at any one time unless otherwise approved by the Board. There is no maximum limit on the level</w:t>
      </w:r>
      <w:r w:rsidRPr="00FB126E">
        <w:rPr>
          <w:color w:val="252525"/>
        </w:rPr>
        <w:t xml:space="preserve"> </w:t>
      </w:r>
      <w:r>
        <w:rPr>
          <w:color w:val="252525"/>
        </w:rPr>
        <w:t>of</w:t>
      </w:r>
      <w:r w:rsidRPr="00FB126E">
        <w:rPr>
          <w:color w:val="252525"/>
        </w:rPr>
        <w:t xml:space="preserve"> </w:t>
      </w:r>
      <w:r>
        <w:rPr>
          <w:color w:val="252525"/>
        </w:rPr>
        <w:t>cash</w:t>
      </w:r>
      <w:r w:rsidRPr="00FB126E">
        <w:rPr>
          <w:color w:val="252525"/>
        </w:rPr>
        <w:t xml:space="preserve"> </w:t>
      </w:r>
      <w:r>
        <w:rPr>
          <w:color w:val="252525"/>
        </w:rPr>
        <w:t>balances</w:t>
      </w:r>
      <w:r w:rsidRPr="00FB126E">
        <w:rPr>
          <w:color w:val="252525"/>
        </w:rPr>
        <w:t xml:space="preserve"> </w:t>
      </w:r>
      <w:r>
        <w:rPr>
          <w:color w:val="252525"/>
        </w:rPr>
        <w:t>held,</w:t>
      </w:r>
      <w:r w:rsidRPr="00FB126E">
        <w:rPr>
          <w:color w:val="252525"/>
        </w:rPr>
        <w:t xml:space="preserve"> </w:t>
      </w:r>
      <w:r>
        <w:rPr>
          <w:color w:val="252525"/>
        </w:rPr>
        <w:t>but</w:t>
      </w:r>
      <w:r w:rsidRPr="00FB126E">
        <w:rPr>
          <w:color w:val="252525"/>
        </w:rPr>
        <w:t xml:space="preserve"> </w:t>
      </w:r>
      <w:r>
        <w:rPr>
          <w:color w:val="252525"/>
        </w:rPr>
        <w:t>the</w:t>
      </w:r>
      <w:r w:rsidRPr="00FB126E">
        <w:rPr>
          <w:color w:val="252525"/>
        </w:rPr>
        <w:t xml:space="preserve"> </w:t>
      </w:r>
      <w:r>
        <w:rPr>
          <w:color w:val="252525"/>
        </w:rPr>
        <w:t>Board</w:t>
      </w:r>
      <w:r w:rsidRPr="00FB126E">
        <w:rPr>
          <w:color w:val="252525"/>
        </w:rPr>
        <w:t xml:space="preserve"> </w:t>
      </w:r>
      <w:r>
        <w:rPr>
          <w:color w:val="252525"/>
        </w:rPr>
        <w:t>will</w:t>
      </w:r>
      <w:r w:rsidRPr="00FB126E">
        <w:rPr>
          <w:color w:val="252525"/>
        </w:rPr>
        <w:t xml:space="preserve"> </w:t>
      </w:r>
      <w:r>
        <w:rPr>
          <w:color w:val="252525"/>
        </w:rPr>
        <w:t>require</w:t>
      </w:r>
      <w:r w:rsidRPr="00FB126E">
        <w:rPr>
          <w:color w:val="252525"/>
        </w:rPr>
        <w:t xml:space="preserve"> </w:t>
      </w:r>
      <w:r>
        <w:rPr>
          <w:color w:val="252525"/>
        </w:rPr>
        <w:t>assurance</w:t>
      </w:r>
      <w:r w:rsidRPr="00FB126E">
        <w:rPr>
          <w:color w:val="252525"/>
        </w:rPr>
        <w:t xml:space="preserve"> </w:t>
      </w:r>
      <w:r>
        <w:rPr>
          <w:color w:val="252525"/>
        </w:rPr>
        <w:t>that</w:t>
      </w:r>
      <w:r w:rsidRPr="00FB126E">
        <w:rPr>
          <w:color w:val="252525"/>
        </w:rPr>
        <w:t xml:space="preserve"> </w:t>
      </w:r>
      <w:r>
        <w:rPr>
          <w:color w:val="252525"/>
        </w:rPr>
        <w:t>balances</w:t>
      </w:r>
      <w:r w:rsidRPr="00FB126E">
        <w:rPr>
          <w:color w:val="252525"/>
        </w:rPr>
        <w:t xml:space="preserve"> </w:t>
      </w:r>
      <w:r>
        <w:rPr>
          <w:color w:val="252525"/>
        </w:rPr>
        <w:t>of</w:t>
      </w:r>
      <w:r w:rsidRPr="00FB126E">
        <w:rPr>
          <w:color w:val="252525"/>
        </w:rPr>
        <w:t xml:space="preserve"> </w:t>
      </w:r>
      <w:r>
        <w:rPr>
          <w:color w:val="252525"/>
        </w:rPr>
        <w:t>above</w:t>
      </w:r>
      <w:r w:rsidRPr="00FB126E">
        <w:rPr>
          <w:color w:val="252525"/>
        </w:rPr>
        <w:t xml:space="preserve"> </w:t>
      </w:r>
      <w:r>
        <w:rPr>
          <w:color w:val="252525"/>
        </w:rPr>
        <w:t>£5m</w:t>
      </w:r>
      <w:r w:rsidRPr="00FB126E">
        <w:rPr>
          <w:color w:val="252525"/>
        </w:rPr>
        <w:t xml:space="preserve"> </w:t>
      </w:r>
      <w:r>
        <w:rPr>
          <w:color w:val="252525"/>
        </w:rPr>
        <w:t>are</w:t>
      </w:r>
      <w:r w:rsidRPr="00FB126E">
        <w:rPr>
          <w:color w:val="252525"/>
        </w:rPr>
        <w:t xml:space="preserve"> </w:t>
      </w:r>
      <w:r>
        <w:rPr>
          <w:color w:val="252525"/>
        </w:rPr>
        <w:t>being held to meet the agreed objectives of the University and its financial</w:t>
      </w:r>
      <w:r w:rsidRPr="00FB126E">
        <w:rPr>
          <w:color w:val="252525"/>
        </w:rPr>
        <w:t xml:space="preserve"> </w:t>
      </w:r>
      <w:r>
        <w:rPr>
          <w:color w:val="252525"/>
        </w:rPr>
        <w:t>strategy.</w:t>
      </w:r>
    </w:p>
    <w:p w14:paraId="2FDCF9D6" w14:textId="73A1BDA8" w:rsidR="00777944" w:rsidRPr="00FB126E" w:rsidRDefault="00632D37" w:rsidP="00FB126E">
      <w:pPr>
        <w:pStyle w:val="ListParagraph"/>
        <w:numPr>
          <w:ilvl w:val="0"/>
          <w:numId w:val="19"/>
        </w:numPr>
        <w:spacing w:before="0" w:after="120"/>
        <w:ind w:left="850" w:hanging="754"/>
        <w:rPr>
          <w:color w:val="252525"/>
        </w:rPr>
      </w:pPr>
      <w:r>
        <w:rPr>
          <w:color w:val="252525"/>
        </w:rPr>
        <w:t>If actual balances fall below £</w:t>
      </w:r>
      <w:r w:rsidR="008A69C3">
        <w:rPr>
          <w:color w:val="252525"/>
        </w:rPr>
        <w:t>5</w:t>
      </w:r>
      <w:r>
        <w:rPr>
          <w:color w:val="252525"/>
        </w:rPr>
        <w:t xml:space="preserve">m, an explanation of the reasons for this, together with a revised cash flow forecast should be presented to the next meeting of Finance and Resources Committee indicating any impact on liquidity in the short to medium term. </w:t>
      </w:r>
    </w:p>
    <w:p w14:paraId="2F435136" w14:textId="4459F370" w:rsidR="00777944" w:rsidRPr="00FB126E" w:rsidRDefault="009942D4" w:rsidP="00FB126E">
      <w:pPr>
        <w:pStyle w:val="ListParagraph"/>
        <w:numPr>
          <w:ilvl w:val="0"/>
          <w:numId w:val="19"/>
        </w:numPr>
        <w:spacing w:before="0" w:after="120"/>
        <w:ind w:left="850" w:hanging="754"/>
        <w:rPr>
          <w:color w:val="252525"/>
        </w:rPr>
      </w:pPr>
      <w:r>
        <w:rPr>
          <w:color w:val="252525"/>
        </w:rPr>
        <w:t>Cashflow data is presented in the monthly Management Accounts pack and the OfS li</w:t>
      </w:r>
      <w:r w:rsidR="00470BA5">
        <w:rPr>
          <w:color w:val="252525"/>
        </w:rPr>
        <w:t>quidity is shared in the quarterly Management Accounts pack.</w:t>
      </w:r>
      <w:r w:rsidR="00F62DCF">
        <w:rPr>
          <w:color w:val="252525"/>
        </w:rPr>
        <w:t xml:space="preserve"> The University has an agreed £10m RCF facility in place since December 2022.</w:t>
      </w:r>
      <w:r w:rsidR="00632D37">
        <w:rPr>
          <w:color w:val="252525"/>
        </w:rPr>
        <w:t>The University’s agreements with its funders require the University to seek their consent in certain circumstances. The Director of Finance shall ensure that such consent is sought where</w:t>
      </w:r>
      <w:r w:rsidR="00632D37" w:rsidRPr="00FB126E">
        <w:rPr>
          <w:color w:val="252525"/>
        </w:rPr>
        <w:t xml:space="preserve"> </w:t>
      </w:r>
      <w:r w:rsidR="00632D37">
        <w:rPr>
          <w:color w:val="252525"/>
        </w:rPr>
        <w:t>necessary.</w:t>
      </w:r>
    </w:p>
    <w:p w14:paraId="212FEBC2" w14:textId="1B31D98B"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Cash and Cash Flow Management</w:t>
      </w:r>
    </w:p>
    <w:p w14:paraId="46743570" w14:textId="3C899937" w:rsidR="00777944" w:rsidRDefault="00632D37" w:rsidP="00FB126E">
      <w:pPr>
        <w:pStyle w:val="ListParagraph"/>
        <w:numPr>
          <w:ilvl w:val="0"/>
          <w:numId w:val="20"/>
        </w:numPr>
        <w:spacing w:before="0" w:after="120"/>
        <w:ind w:left="851" w:hanging="752"/>
        <w:rPr>
          <w:color w:val="252525"/>
        </w:rPr>
      </w:pPr>
      <w:r>
        <w:rPr>
          <w:color w:val="252525"/>
        </w:rPr>
        <w:t>Unless</w:t>
      </w:r>
      <w:r w:rsidRPr="00FB126E">
        <w:rPr>
          <w:color w:val="252525"/>
        </w:rPr>
        <w:t xml:space="preserve"> </w:t>
      </w:r>
      <w:r>
        <w:rPr>
          <w:color w:val="252525"/>
        </w:rPr>
        <w:t>statutory</w:t>
      </w:r>
      <w:r w:rsidRPr="00FB126E">
        <w:rPr>
          <w:color w:val="252525"/>
        </w:rPr>
        <w:t xml:space="preserve"> </w:t>
      </w:r>
      <w:r>
        <w:rPr>
          <w:color w:val="252525"/>
        </w:rPr>
        <w:t>regulatory,</w:t>
      </w:r>
      <w:r w:rsidRPr="00FB126E">
        <w:rPr>
          <w:color w:val="252525"/>
        </w:rPr>
        <w:t xml:space="preserve"> </w:t>
      </w:r>
      <w:r>
        <w:rPr>
          <w:color w:val="252525"/>
        </w:rPr>
        <w:t>or</w:t>
      </w:r>
      <w:r w:rsidRPr="00FB126E">
        <w:rPr>
          <w:color w:val="252525"/>
        </w:rPr>
        <w:t xml:space="preserve"> </w:t>
      </w:r>
      <w:r>
        <w:rPr>
          <w:color w:val="252525"/>
        </w:rPr>
        <w:t>funder</w:t>
      </w:r>
      <w:r w:rsidRPr="00FB126E">
        <w:rPr>
          <w:color w:val="252525"/>
        </w:rPr>
        <w:t xml:space="preserve"> </w:t>
      </w:r>
      <w:r>
        <w:rPr>
          <w:color w:val="252525"/>
        </w:rPr>
        <w:t>requirements</w:t>
      </w:r>
      <w:r w:rsidRPr="00FB126E">
        <w:rPr>
          <w:color w:val="252525"/>
        </w:rPr>
        <w:t xml:space="preserve"> </w:t>
      </w:r>
      <w:r>
        <w:rPr>
          <w:color w:val="252525"/>
        </w:rPr>
        <w:t>demand</w:t>
      </w:r>
      <w:r w:rsidRPr="00FB126E">
        <w:rPr>
          <w:color w:val="252525"/>
        </w:rPr>
        <w:t xml:space="preserve"> </w:t>
      </w:r>
      <w:r>
        <w:rPr>
          <w:color w:val="252525"/>
        </w:rPr>
        <w:t>otherwise,</w:t>
      </w:r>
      <w:r w:rsidRPr="00FB126E">
        <w:rPr>
          <w:color w:val="252525"/>
        </w:rPr>
        <w:t xml:space="preserve"> </w:t>
      </w:r>
      <w:r>
        <w:rPr>
          <w:color w:val="252525"/>
        </w:rPr>
        <w:t>all</w:t>
      </w:r>
      <w:r w:rsidRPr="00FB126E">
        <w:rPr>
          <w:color w:val="252525"/>
        </w:rPr>
        <w:t xml:space="preserve"> </w:t>
      </w:r>
      <w:r>
        <w:rPr>
          <w:color w:val="252525"/>
        </w:rPr>
        <w:t>monies</w:t>
      </w:r>
      <w:r w:rsidRPr="00FB126E">
        <w:rPr>
          <w:color w:val="252525"/>
        </w:rPr>
        <w:t xml:space="preserve"> </w:t>
      </w:r>
      <w:r>
        <w:rPr>
          <w:color w:val="252525"/>
        </w:rPr>
        <w:t>in</w:t>
      </w:r>
      <w:r w:rsidRPr="00FB126E">
        <w:rPr>
          <w:color w:val="252525"/>
        </w:rPr>
        <w:t xml:space="preserve"> </w:t>
      </w:r>
      <w:r>
        <w:rPr>
          <w:color w:val="252525"/>
        </w:rPr>
        <w:t>the</w:t>
      </w:r>
      <w:r w:rsidRPr="00FB126E">
        <w:rPr>
          <w:color w:val="252525"/>
        </w:rPr>
        <w:t xml:space="preserve"> </w:t>
      </w:r>
      <w:r>
        <w:rPr>
          <w:color w:val="252525"/>
        </w:rPr>
        <w:t>hands</w:t>
      </w:r>
      <w:r w:rsidRPr="00FB126E">
        <w:rPr>
          <w:color w:val="252525"/>
        </w:rPr>
        <w:t xml:space="preserve"> </w:t>
      </w:r>
      <w:r>
        <w:rPr>
          <w:color w:val="252525"/>
        </w:rPr>
        <w:t>of</w:t>
      </w:r>
      <w:r w:rsidRPr="00FB126E">
        <w:rPr>
          <w:color w:val="252525"/>
        </w:rPr>
        <w:t xml:space="preserve"> </w:t>
      </w:r>
      <w:r>
        <w:rPr>
          <w:color w:val="252525"/>
        </w:rPr>
        <w:t>the University will be under the control of the Director of Finance, and will be aggregated for cash flow and investment management</w:t>
      </w:r>
      <w:r w:rsidRPr="00FB126E">
        <w:rPr>
          <w:color w:val="252525"/>
        </w:rPr>
        <w:t xml:space="preserve"> </w:t>
      </w:r>
      <w:r>
        <w:rPr>
          <w:color w:val="252525"/>
        </w:rPr>
        <w:t>purposes.</w:t>
      </w:r>
    </w:p>
    <w:p w14:paraId="05C79AD7" w14:textId="77777777" w:rsidR="00CB62D6" w:rsidRPr="00FB126E" w:rsidRDefault="00CB62D6" w:rsidP="00CB62D6">
      <w:pPr>
        <w:pStyle w:val="ListParagraph"/>
        <w:spacing w:before="0" w:after="120"/>
        <w:ind w:left="851" w:firstLine="0"/>
        <w:rPr>
          <w:color w:val="252525"/>
        </w:rPr>
      </w:pPr>
    </w:p>
    <w:p w14:paraId="7332D9DC" w14:textId="41C23D5B" w:rsidR="00777944" w:rsidRPr="00FB126E" w:rsidRDefault="00632D37" w:rsidP="00FB126E">
      <w:pPr>
        <w:pStyle w:val="ListParagraph"/>
        <w:numPr>
          <w:ilvl w:val="0"/>
          <w:numId w:val="20"/>
        </w:numPr>
        <w:spacing w:before="0" w:after="120"/>
        <w:ind w:left="850" w:hanging="754"/>
        <w:rPr>
          <w:color w:val="252525"/>
        </w:rPr>
      </w:pPr>
      <w:r>
        <w:rPr>
          <w:color w:val="252525"/>
        </w:rPr>
        <w:lastRenderedPageBreak/>
        <w:t xml:space="preserve">The University will maintain an effective cash flow forecasting and monitoring system in order to support it in meeting its </w:t>
      </w:r>
      <w:r w:rsidR="00D81D95">
        <w:rPr>
          <w:color w:val="252525"/>
        </w:rPr>
        <w:t>medium-term</w:t>
      </w:r>
      <w:r>
        <w:rPr>
          <w:color w:val="252525"/>
        </w:rPr>
        <w:t xml:space="preserve"> capital requirements; identify short term liquidity needs; and assist the University in maximising its investment return by identifying when surplus cash can be placed on fixed term</w:t>
      </w:r>
      <w:r w:rsidRPr="00FB126E">
        <w:rPr>
          <w:color w:val="252525"/>
        </w:rPr>
        <w:t xml:space="preserve"> </w:t>
      </w:r>
      <w:r>
        <w:rPr>
          <w:color w:val="252525"/>
        </w:rPr>
        <w:t>deposit.</w:t>
      </w:r>
    </w:p>
    <w:p w14:paraId="060CFCCE" w14:textId="77777777" w:rsidR="004E445A" w:rsidRDefault="004E445A">
      <w:pPr>
        <w:pStyle w:val="BodyText"/>
        <w:spacing w:before="4"/>
        <w:rPr>
          <w:sz w:val="25"/>
        </w:rPr>
      </w:pPr>
    </w:p>
    <w:p w14:paraId="1395B779" w14:textId="43FFFD8E"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Responsibilities and Reporting</w:t>
      </w:r>
    </w:p>
    <w:p w14:paraId="71AC4BA2" w14:textId="77777777" w:rsidR="00777944" w:rsidRPr="00FB126E" w:rsidRDefault="00632D37" w:rsidP="00FB126E">
      <w:pPr>
        <w:pStyle w:val="ListParagraph"/>
        <w:numPr>
          <w:ilvl w:val="0"/>
          <w:numId w:val="21"/>
        </w:numPr>
        <w:spacing w:before="0" w:after="120"/>
        <w:ind w:left="851" w:hanging="752"/>
        <w:rPr>
          <w:color w:val="252525"/>
        </w:rPr>
      </w:pPr>
      <w:r>
        <w:rPr>
          <w:color w:val="252525"/>
        </w:rPr>
        <w:t>The University will ensure that its treasury management activities are structured and managed in a clear and fully integrated manner, with appropriate segregation of duties, in order to reduce the risk of fraud or error and to optimise</w:t>
      </w:r>
      <w:r w:rsidRPr="00FB126E">
        <w:rPr>
          <w:color w:val="252525"/>
        </w:rPr>
        <w:t xml:space="preserve"> </w:t>
      </w:r>
      <w:r>
        <w:rPr>
          <w:color w:val="252525"/>
        </w:rPr>
        <w:t>performance.</w:t>
      </w:r>
    </w:p>
    <w:p w14:paraId="79DE8C45" w14:textId="075280B5" w:rsidR="00777944" w:rsidRPr="00FB126E" w:rsidRDefault="00632D37" w:rsidP="00FB126E">
      <w:pPr>
        <w:pStyle w:val="ListParagraph"/>
        <w:numPr>
          <w:ilvl w:val="0"/>
          <w:numId w:val="21"/>
        </w:numPr>
        <w:spacing w:before="0" w:after="120"/>
        <w:ind w:left="850" w:hanging="754"/>
        <w:rPr>
          <w:color w:val="252525"/>
        </w:rPr>
      </w:pPr>
      <w:r w:rsidRPr="00470BA5">
        <w:rPr>
          <w:color w:val="252525"/>
        </w:rPr>
        <w:t xml:space="preserve">The Director of Finance will ensure </w:t>
      </w:r>
      <w:r w:rsidR="00470BA5">
        <w:rPr>
          <w:color w:val="252525"/>
        </w:rPr>
        <w:t>Treasury Management responsibilit</w:t>
      </w:r>
      <w:r w:rsidR="006D2892">
        <w:rPr>
          <w:color w:val="252525"/>
        </w:rPr>
        <w:t>ies</w:t>
      </w:r>
      <w:r w:rsidR="00470BA5">
        <w:rPr>
          <w:color w:val="252525"/>
        </w:rPr>
        <w:t xml:space="preserve"> are recorded in the relevant job descriptions </w:t>
      </w:r>
      <w:r w:rsidRPr="00470BA5">
        <w:rPr>
          <w:color w:val="252525"/>
        </w:rPr>
        <w:t>and the arrangements for absence</w:t>
      </w:r>
      <w:r w:rsidRPr="00FB126E">
        <w:rPr>
          <w:color w:val="252525"/>
        </w:rPr>
        <w:t xml:space="preserve"> </w:t>
      </w:r>
      <w:r w:rsidRPr="00470BA5">
        <w:rPr>
          <w:color w:val="252525"/>
        </w:rPr>
        <w:t>cover</w:t>
      </w:r>
      <w:r w:rsidR="006D2892">
        <w:rPr>
          <w:color w:val="252525"/>
        </w:rPr>
        <w:t xml:space="preserve"> is also recorded</w:t>
      </w:r>
      <w:r w:rsidRPr="00470BA5">
        <w:rPr>
          <w:color w:val="252525"/>
        </w:rPr>
        <w:t>.</w:t>
      </w:r>
    </w:p>
    <w:p w14:paraId="69B82E2C" w14:textId="03205315" w:rsidR="00777944" w:rsidRPr="00FB126E" w:rsidRDefault="00632D37" w:rsidP="00FB126E">
      <w:pPr>
        <w:pStyle w:val="ListParagraph"/>
        <w:numPr>
          <w:ilvl w:val="0"/>
          <w:numId w:val="21"/>
        </w:numPr>
        <w:spacing w:before="0" w:after="120"/>
        <w:ind w:left="850" w:hanging="754"/>
        <w:rPr>
          <w:color w:val="252525"/>
        </w:rPr>
      </w:pPr>
      <w:r>
        <w:rPr>
          <w:color w:val="252525"/>
        </w:rPr>
        <w:t>The Director of Finance will, upon identification of any treasury management event that is likely to have a materially adverse effect on the finances or operations of the University (including any breach or potential breach of financial covenants with lenders), report this promptly to the Vice-Chancellor</w:t>
      </w:r>
      <w:r w:rsidR="00D81D95">
        <w:rPr>
          <w:color w:val="252525"/>
        </w:rPr>
        <w:t>, The Chief Operating Officer</w:t>
      </w:r>
      <w:r>
        <w:rPr>
          <w:color w:val="252525"/>
        </w:rPr>
        <w:t xml:space="preserve"> and the Chair of the Finance and Resources</w:t>
      </w:r>
      <w:r w:rsidRPr="00FB126E">
        <w:rPr>
          <w:color w:val="252525"/>
        </w:rPr>
        <w:t xml:space="preserve"> </w:t>
      </w:r>
      <w:r>
        <w:rPr>
          <w:color w:val="252525"/>
        </w:rPr>
        <w:t>Committee.</w:t>
      </w:r>
    </w:p>
    <w:p w14:paraId="59D0389B" w14:textId="77777777" w:rsidR="00777944" w:rsidRPr="00FB126E" w:rsidRDefault="00632D37" w:rsidP="00FB126E">
      <w:pPr>
        <w:pStyle w:val="ListParagraph"/>
        <w:numPr>
          <w:ilvl w:val="0"/>
          <w:numId w:val="21"/>
        </w:numPr>
        <w:spacing w:before="0" w:after="120"/>
        <w:ind w:left="850" w:hanging="754"/>
        <w:rPr>
          <w:color w:val="252525"/>
        </w:rPr>
      </w:pPr>
      <w:r>
        <w:rPr>
          <w:color w:val="252525"/>
        </w:rPr>
        <w:t>The responsibilities of key parties with regard to treasury management are as</w:t>
      </w:r>
      <w:r w:rsidRPr="00FB126E">
        <w:rPr>
          <w:color w:val="252525"/>
        </w:rPr>
        <w:t xml:space="preserve"> </w:t>
      </w:r>
      <w:r>
        <w:rPr>
          <w:color w:val="252525"/>
        </w:rPr>
        <w:t>follows:</w:t>
      </w:r>
    </w:p>
    <w:p w14:paraId="4231EAD6" w14:textId="77777777" w:rsidR="00777944" w:rsidRDefault="00632D37" w:rsidP="00012AE5">
      <w:pPr>
        <w:pStyle w:val="ListParagraph"/>
        <w:numPr>
          <w:ilvl w:val="2"/>
          <w:numId w:val="12"/>
        </w:numPr>
        <w:tabs>
          <w:tab w:val="left" w:pos="1518"/>
          <w:tab w:val="left" w:pos="1519"/>
        </w:tabs>
        <w:spacing w:before="172"/>
      </w:pPr>
      <w:r>
        <w:t>Finance and Resources</w:t>
      </w:r>
      <w:r>
        <w:rPr>
          <w:spacing w:val="-1"/>
        </w:rPr>
        <w:t xml:space="preserve"> </w:t>
      </w:r>
      <w:r>
        <w:t>Committee</w:t>
      </w:r>
    </w:p>
    <w:p w14:paraId="100AF933" w14:textId="59936A0C" w:rsidR="00777944" w:rsidRDefault="00632D37" w:rsidP="00012AE5">
      <w:pPr>
        <w:pStyle w:val="ListParagraph"/>
        <w:numPr>
          <w:ilvl w:val="3"/>
          <w:numId w:val="12"/>
        </w:numPr>
        <w:tabs>
          <w:tab w:val="left" w:pos="1802"/>
        </w:tabs>
        <w:ind w:right="179"/>
        <w:jc w:val="left"/>
      </w:pPr>
      <w:r>
        <w:t xml:space="preserve">to review and recommend the annual Budget and </w:t>
      </w:r>
      <w:r w:rsidR="00F62DCF">
        <w:t>bi</w:t>
      </w:r>
      <w:r w:rsidR="00006001">
        <w:t>ennial</w:t>
      </w:r>
      <w:r w:rsidR="00F62DCF">
        <w:t xml:space="preserve"> </w:t>
      </w:r>
      <w:r>
        <w:t>Financial Strategy to the Board of Governors;</w:t>
      </w:r>
    </w:p>
    <w:p w14:paraId="1006CAC2" w14:textId="689F0255" w:rsidR="00777944" w:rsidRDefault="00632D37" w:rsidP="00012AE5">
      <w:pPr>
        <w:pStyle w:val="ListParagraph"/>
        <w:numPr>
          <w:ilvl w:val="3"/>
          <w:numId w:val="12"/>
        </w:numPr>
        <w:tabs>
          <w:tab w:val="left" w:pos="1802"/>
        </w:tabs>
        <w:spacing w:before="120"/>
        <w:ind w:right="176"/>
        <w:jc w:val="left"/>
      </w:pPr>
      <w:r>
        <w:t>to consider any necessary amendments to this Treasury Management Policy and associated practices</w:t>
      </w:r>
      <w:r w:rsidR="00F62DCF">
        <w:t xml:space="preserve"> every three years</w:t>
      </w:r>
      <w:r>
        <w:t>, making recommendations to the Board as</w:t>
      </w:r>
      <w:r>
        <w:rPr>
          <w:spacing w:val="-15"/>
        </w:rPr>
        <w:t xml:space="preserve"> </w:t>
      </w:r>
      <w:r>
        <w:t>appropriate;</w:t>
      </w:r>
    </w:p>
    <w:p w14:paraId="7D03D6F0" w14:textId="77777777" w:rsidR="00777944" w:rsidRDefault="00632D37" w:rsidP="00012AE5">
      <w:pPr>
        <w:pStyle w:val="ListParagraph"/>
        <w:numPr>
          <w:ilvl w:val="3"/>
          <w:numId w:val="12"/>
        </w:numPr>
        <w:tabs>
          <w:tab w:val="left" w:pos="1802"/>
        </w:tabs>
        <w:spacing w:before="118"/>
        <w:ind w:right="173"/>
        <w:jc w:val="left"/>
      </w:pPr>
      <w:r>
        <w:t>to consider proposals for new borrowings and to recommend such proposals to the Board for</w:t>
      </w:r>
      <w:r>
        <w:rPr>
          <w:spacing w:val="-1"/>
        </w:rPr>
        <w:t xml:space="preserve"> </w:t>
      </w:r>
      <w:r>
        <w:t>approval;</w:t>
      </w:r>
    </w:p>
    <w:p w14:paraId="17599E9D" w14:textId="6E9DB321" w:rsidR="00777944" w:rsidRDefault="00632D37" w:rsidP="00012AE5">
      <w:pPr>
        <w:pStyle w:val="ListParagraph"/>
        <w:numPr>
          <w:ilvl w:val="3"/>
          <w:numId w:val="12"/>
        </w:numPr>
        <w:tabs>
          <w:tab w:val="left" w:pos="1802"/>
        </w:tabs>
        <w:ind w:right="180"/>
        <w:jc w:val="left"/>
      </w:pPr>
      <w:r>
        <w:t>to approve Criteria for Short Term Investments (including counterparties, credit limits, maximum term for deposits and approved investment instruments);</w:t>
      </w:r>
      <w:r>
        <w:rPr>
          <w:spacing w:val="-11"/>
        </w:rPr>
        <w:t xml:space="preserve"> </w:t>
      </w:r>
      <w:r>
        <w:t>and</w:t>
      </w:r>
    </w:p>
    <w:p w14:paraId="32EDFC0B" w14:textId="4BE7F911" w:rsidR="008A5510" w:rsidRDefault="008A5510" w:rsidP="00012AE5">
      <w:pPr>
        <w:pStyle w:val="ListParagraph"/>
        <w:numPr>
          <w:ilvl w:val="3"/>
          <w:numId w:val="12"/>
        </w:numPr>
        <w:tabs>
          <w:tab w:val="left" w:pos="1802"/>
        </w:tabs>
        <w:ind w:right="180"/>
        <w:jc w:val="left"/>
      </w:pPr>
      <w:r>
        <w:t>to approve transfer of loans between fixed and variable rates upon recommendation from the Director of Finance</w:t>
      </w:r>
    </w:p>
    <w:p w14:paraId="042E523F" w14:textId="77777777" w:rsidR="00F62DCF" w:rsidRDefault="00F62DCF" w:rsidP="00012AE5">
      <w:pPr>
        <w:pStyle w:val="ListParagraph"/>
        <w:numPr>
          <w:ilvl w:val="2"/>
          <w:numId w:val="12"/>
        </w:numPr>
        <w:tabs>
          <w:tab w:val="left" w:pos="1519"/>
        </w:tabs>
        <w:spacing w:before="120"/>
      </w:pPr>
      <w:r>
        <w:t>Board of</w:t>
      </w:r>
      <w:r>
        <w:rPr>
          <w:spacing w:val="-3"/>
        </w:rPr>
        <w:t xml:space="preserve"> </w:t>
      </w:r>
      <w:r>
        <w:t>Governors</w:t>
      </w:r>
    </w:p>
    <w:p w14:paraId="0015F2F0" w14:textId="7A8C217F" w:rsidR="00F62DCF" w:rsidRDefault="00F62DCF" w:rsidP="00012AE5">
      <w:pPr>
        <w:pStyle w:val="ListParagraph"/>
        <w:numPr>
          <w:ilvl w:val="3"/>
          <w:numId w:val="12"/>
        </w:numPr>
        <w:tabs>
          <w:tab w:val="left" w:pos="1802"/>
        </w:tabs>
        <w:spacing w:before="120"/>
        <w:jc w:val="left"/>
      </w:pPr>
      <w:r>
        <w:t>to review and approve the Financial Strategy on a bi</w:t>
      </w:r>
      <w:r w:rsidR="00613612">
        <w:t>ennial</w:t>
      </w:r>
      <w:r>
        <w:rPr>
          <w:spacing w:val="-8"/>
        </w:rPr>
        <w:t xml:space="preserve"> </w:t>
      </w:r>
      <w:r>
        <w:t>basis;</w:t>
      </w:r>
    </w:p>
    <w:p w14:paraId="65158F91" w14:textId="77777777" w:rsidR="00F62DCF" w:rsidRDefault="00F62DCF" w:rsidP="00012AE5">
      <w:pPr>
        <w:pStyle w:val="ListParagraph"/>
        <w:numPr>
          <w:ilvl w:val="3"/>
          <w:numId w:val="12"/>
        </w:numPr>
        <w:tabs>
          <w:tab w:val="left" w:pos="1802"/>
        </w:tabs>
        <w:jc w:val="left"/>
      </w:pPr>
      <w:r>
        <w:t>to consider and approve the annual</w:t>
      </w:r>
      <w:r>
        <w:rPr>
          <w:spacing w:val="-5"/>
        </w:rPr>
        <w:t xml:space="preserve"> </w:t>
      </w:r>
      <w:r>
        <w:t>Budget;</w:t>
      </w:r>
    </w:p>
    <w:p w14:paraId="0731983B" w14:textId="77777777" w:rsidR="00F62DCF" w:rsidRDefault="00F62DCF" w:rsidP="00012AE5">
      <w:pPr>
        <w:pStyle w:val="ListParagraph"/>
        <w:numPr>
          <w:ilvl w:val="3"/>
          <w:numId w:val="12"/>
        </w:numPr>
        <w:tabs>
          <w:tab w:val="left" w:pos="1802"/>
        </w:tabs>
        <w:spacing w:before="118"/>
        <w:jc w:val="left"/>
      </w:pPr>
      <w:r>
        <w:t>to approve this Treasury Management Policy and any amendments</w:t>
      </w:r>
      <w:r>
        <w:rPr>
          <w:spacing w:val="-8"/>
        </w:rPr>
        <w:t xml:space="preserve"> </w:t>
      </w:r>
      <w:r>
        <w:t>thereto;</w:t>
      </w:r>
    </w:p>
    <w:p w14:paraId="14A9B56D" w14:textId="77777777" w:rsidR="00F62DCF" w:rsidRDefault="00F62DCF" w:rsidP="00012AE5">
      <w:pPr>
        <w:pStyle w:val="ListParagraph"/>
        <w:numPr>
          <w:ilvl w:val="3"/>
          <w:numId w:val="12"/>
        </w:numPr>
        <w:tabs>
          <w:tab w:val="left" w:pos="1802"/>
        </w:tabs>
        <w:ind w:right="178"/>
      </w:pPr>
      <w:r>
        <w:t>to approve the terms and conditions of any proposed borrowing, taking account of the impact of the borrowing, any covenants and provision of security on the overall stability and financial health of the University;</w:t>
      </w:r>
      <w:r>
        <w:rPr>
          <w:spacing w:val="-10"/>
        </w:rPr>
        <w:t xml:space="preserve"> </w:t>
      </w:r>
      <w:r>
        <w:t>and</w:t>
      </w:r>
    </w:p>
    <w:p w14:paraId="4DA1CD98" w14:textId="5BC15698" w:rsidR="00F62DCF" w:rsidRDefault="00F62DCF" w:rsidP="00012AE5">
      <w:pPr>
        <w:pStyle w:val="ListParagraph"/>
        <w:numPr>
          <w:ilvl w:val="3"/>
          <w:numId w:val="12"/>
        </w:numPr>
        <w:tabs>
          <w:tab w:val="left" w:pos="1802"/>
        </w:tabs>
      </w:pPr>
      <w:r>
        <w:t>to approve the delegation of its responsibilities as</w:t>
      </w:r>
      <w:r>
        <w:rPr>
          <w:spacing w:val="-10"/>
        </w:rPr>
        <w:t xml:space="preserve"> </w:t>
      </w:r>
      <w:r>
        <w:t>appropriate.</w:t>
      </w:r>
    </w:p>
    <w:p w14:paraId="2323F53D" w14:textId="02360D02" w:rsidR="00FF1709" w:rsidRDefault="00FF1709" w:rsidP="00012AE5">
      <w:pPr>
        <w:pStyle w:val="ListParagraph"/>
        <w:numPr>
          <w:ilvl w:val="3"/>
          <w:numId w:val="12"/>
        </w:numPr>
        <w:tabs>
          <w:tab w:val="left" w:pos="1802"/>
        </w:tabs>
      </w:pPr>
      <w:r>
        <w:t xml:space="preserve">To review the long-term </w:t>
      </w:r>
      <w:r w:rsidR="008A5510">
        <w:t>five-year</w:t>
      </w:r>
      <w:r>
        <w:t xml:space="preserve"> cash projection</w:t>
      </w:r>
    </w:p>
    <w:p w14:paraId="15B712CE" w14:textId="77777777" w:rsidR="00777944" w:rsidRDefault="00632D37" w:rsidP="00012AE5">
      <w:pPr>
        <w:pStyle w:val="ListParagraph"/>
        <w:numPr>
          <w:ilvl w:val="2"/>
          <w:numId w:val="12"/>
        </w:numPr>
        <w:tabs>
          <w:tab w:val="left" w:pos="1519"/>
        </w:tabs>
        <w:spacing w:before="175"/>
      </w:pPr>
      <w:r>
        <w:t>Audit</w:t>
      </w:r>
      <w:r>
        <w:rPr>
          <w:spacing w:val="-1"/>
        </w:rPr>
        <w:t xml:space="preserve"> </w:t>
      </w:r>
      <w:r>
        <w:t>Committee</w:t>
      </w:r>
    </w:p>
    <w:p w14:paraId="2B59315E" w14:textId="77777777" w:rsidR="00777944" w:rsidRDefault="00632D37" w:rsidP="00012AE5">
      <w:pPr>
        <w:pStyle w:val="ListParagraph"/>
        <w:numPr>
          <w:ilvl w:val="3"/>
          <w:numId w:val="12"/>
        </w:numPr>
        <w:tabs>
          <w:tab w:val="left" w:pos="1802"/>
        </w:tabs>
        <w:spacing w:before="118"/>
        <w:ind w:right="172"/>
      </w:pPr>
      <w:r>
        <w:t>to receive and review any external or internal audit reports and follow-up action relating to treasury management, and ensure that the Finance and Resources Committee and the Board</w:t>
      </w:r>
      <w:r>
        <w:rPr>
          <w:spacing w:val="-15"/>
        </w:rPr>
        <w:t xml:space="preserve"> </w:t>
      </w:r>
      <w:r>
        <w:t>of</w:t>
      </w:r>
      <w:r>
        <w:rPr>
          <w:spacing w:val="-11"/>
        </w:rPr>
        <w:t xml:space="preserve"> </w:t>
      </w:r>
      <w:r>
        <w:t>Governors</w:t>
      </w:r>
      <w:r>
        <w:rPr>
          <w:spacing w:val="-10"/>
        </w:rPr>
        <w:t xml:space="preserve"> </w:t>
      </w:r>
      <w:r>
        <w:t>are</w:t>
      </w:r>
      <w:r>
        <w:rPr>
          <w:spacing w:val="-10"/>
        </w:rPr>
        <w:t xml:space="preserve"> </w:t>
      </w:r>
      <w:r>
        <w:t>aware</w:t>
      </w:r>
      <w:r>
        <w:rPr>
          <w:spacing w:val="-13"/>
        </w:rPr>
        <w:t xml:space="preserve"> </w:t>
      </w:r>
      <w:r>
        <w:t>of</w:t>
      </w:r>
      <w:r>
        <w:rPr>
          <w:spacing w:val="-11"/>
        </w:rPr>
        <w:t xml:space="preserve"> </w:t>
      </w:r>
      <w:r>
        <w:t>any</w:t>
      </w:r>
      <w:r>
        <w:rPr>
          <w:spacing w:val="-10"/>
        </w:rPr>
        <w:t xml:space="preserve"> </w:t>
      </w:r>
      <w:r>
        <w:t>recommendations</w:t>
      </w:r>
      <w:r>
        <w:rPr>
          <w:spacing w:val="-11"/>
        </w:rPr>
        <w:t xml:space="preserve"> </w:t>
      </w:r>
      <w:r>
        <w:t>or</w:t>
      </w:r>
      <w:r>
        <w:rPr>
          <w:spacing w:val="-13"/>
        </w:rPr>
        <w:t xml:space="preserve"> </w:t>
      </w:r>
      <w:r>
        <w:t>actions</w:t>
      </w:r>
      <w:r>
        <w:rPr>
          <w:spacing w:val="-10"/>
        </w:rPr>
        <w:t xml:space="preserve"> </w:t>
      </w:r>
      <w:r>
        <w:t>that</w:t>
      </w:r>
      <w:r>
        <w:rPr>
          <w:spacing w:val="-12"/>
        </w:rPr>
        <w:t xml:space="preserve"> </w:t>
      </w:r>
      <w:r>
        <w:t>may</w:t>
      </w:r>
      <w:r>
        <w:rPr>
          <w:spacing w:val="-10"/>
        </w:rPr>
        <w:t xml:space="preserve"> </w:t>
      </w:r>
      <w:r>
        <w:t>impact</w:t>
      </w:r>
      <w:r>
        <w:rPr>
          <w:spacing w:val="-12"/>
        </w:rPr>
        <w:t xml:space="preserve"> </w:t>
      </w:r>
      <w:r>
        <w:t>on</w:t>
      </w:r>
      <w:r>
        <w:rPr>
          <w:spacing w:val="-9"/>
        </w:rPr>
        <w:t xml:space="preserve"> </w:t>
      </w:r>
      <w:r>
        <w:t>their deliberations or</w:t>
      </w:r>
      <w:r>
        <w:rPr>
          <w:spacing w:val="-7"/>
        </w:rPr>
        <w:t xml:space="preserve"> </w:t>
      </w:r>
      <w:r>
        <w:t>decisions.</w:t>
      </w:r>
    </w:p>
    <w:p w14:paraId="63AD12F6" w14:textId="77777777" w:rsidR="00777944" w:rsidRDefault="00777944">
      <w:pPr>
        <w:pStyle w:val="BodyText"/>
        <w:spacing w:before="10"/>
        <w:rPr>
          <w:sz w:val="14"/>
        </w:rPr>
      </w:pPr>
    </w:p>
    <w:p w14:paraId="01BD5225" w14:textId="77777777" w:rsidR="00777944" w:rsidRDefault="00632D37" w:rsidP="00012AE5">
      <w:pPr>
        <w:pStyle w:val="ListParagraph"/>
        <w:numPr>
          <w:ilvl w:val="2"/>
          <w:numId w:val="12"/>
        </w:numPr>
        <w:tabs>
          <w:tab w:val="left" w:pos="1519"/>
        </w:tabs>
        <w:spacing w:before="56"/>
      </w:pPr>
      <w:r>
        <w:t>The Vice-Chancellor, the Chief Operating Officer and/or the Vice Chancellor’s</w:t>
      </w:r>
      <w:r>
        <w:rPr>
          <w:spacing w:val="-19"/>
        </w:rPr>
        <w:t xml:space="preserve"> </w:t>
      </w:r>
      <w:r>
        <w:t>Group</w:t>
      </w:r>
    </w:p>
    <w:p w14:paraId="570502B2" w14:textId="77777777" w:rsidR="00777944" w:rsidRDefault="00632D37" w:rsidP="00012AE5">
      <w:pPr>
        <w:pStyle w:val="ListParagraph"/>
        <w:numPr>
          <w:ilvl w:val="3"/>
          <w:numId w:val="12"/>
        </w:numPr>
        <w:tabs>
          <w:tab w:val="left" w:pos="1802"/>
        </w:tabs>
        <w:ind w:right="173"/>
      </w:pPr>
      <w:r>
        <w:t>to support, review and oversee the activities delegated by the Board to the Director of Finance.</w:t>
      </w:r>
    </w:p>
    <w:p w14:paraId="5DDECE76" w14:textId="77777777" w:rsidR="00777944" w:rsidRDefault="00777944">
      <w:pPr>
        <w:pStyle w:val="BodyText"/>
        <w:spacing w:before="3"/>
        <w:rPr>
          <w:sz w:val="20"/>
        </w:rPr>
      </w:pPr>
    </w:p>
    <w:p w14:paraId="47A377BB" w14:textId="77777777" w:rsidR="00777944" w:rsidRDefault="00632D37" w:rsidP="00012AE5">
      <w:pPr>
        <w:pStyle w:val="ListParagraph"/>
        <w:numPr>
          <w:ilvl w:val="2"/>
          <w:numId w:val="12"/>
        </w:numPr>
        <w:tabs>
          <w:tab w:val="left" w:pos="1519"/>
        </w:tabs>
        <w:spacing w:before="0"/>
      </w:pPr>
      <w:r>
        <w:t>Director of</w:t>
      </w:r>
      <w:r>
        <w:rPr>
          <w:spacing w:val="-3"/>
        </w:rPr>
        <w:t xml:space="preserve"> </w:t>
      </w:r>
      <w:r>
        <w:t>Finance</w:t>
      </w:r>
    </w:p>
    <w:p w14:paraId="65352C3B" w14:textId="559E818F" w:rsidR="00777944" w:rsidRDefault="00632D37" w:rsidP="00012AE5">
      <w:pPr>
        <w:pStyle w:val="ListParagraph"/>
        <w:numPr>
          <w:ilvl w:val="3"/>
          <w:numId w:val="12"/>
        </w:numPr>
        <w:tabs>
          <w:tab w:val="left" w:pos="1802"/>
        </w:tabs>
        <w:spacing w:before="119"/>
        <w:ind w:right="176"/>
      </w:pPr>
      <w:r>
        <w:t>to prepare a bi</w:t>
      </w:r>
      <w:r w:rsidR="00613612">
        <w:t>ennial</w:t>
      </w:r>
      <w:r>
        <w:t xml:space="preserve"> financial strategy for review and recommendation by Finance and Resources Committee for approval by the Board of</w:t>
      </w:r>
      <w:r>
        <w:rPr>
          <w:spacing w:val="-8"/>
        </w:rPr>
        <w:t xml:space="preserve"> </w:t>
      </w:r>
      <w:r>
        <w:t>Governors;</w:t>
      </w:r>
    </w:p>
    <w:p w14:paraId="43EEB178" w14:textId="43722E47" w:rsidR="00777944" w:rsidRDefault="00632D37" w:rsidP="00012AE5">
      <w:pPr>
        <w:pStyle w:val="ListParagraph"/>
        <w:numPr>
          <w:ilvl w:val="3"/>
          <w:numId w:val="12"/>
        </w:numPr>
        <w:tabs>
          <w:tab w:val="left" w:pos="1802"/>
        </w:tabs>
        <w:spacing w:before="120"/>
      </w:pPr>
      <w:r>
        <w:t>to prepare and submit Budgets and budget</w:t>
      </w:r>
      <w:r>
        <w:rPr>
          <w:spacing w:val="-4"/>
        </w:rPr>
        <w:t xml:space="preserve"> </w:t>
      </w:r>
      <w:r>
        <w:t>variations</w:t>
      </w:r>
      <w:r w:rsidR="008A5510">
        <w:t xml:space="preserve"> for review by VCG, Finance and Resources Committee and the Board</w:t>
      </w:r>
      <w:r>
        <w:t>;</w:t>
      </w:r>
    </w:p>
    <w:p w14:paraId="371B20DC" w14:textId="77777777" w:rsidR="00777944" w:rsidRDefault="00632D37" w:rsidP="00012AE5">
      <w:pPr>
        <w:pStyle w:val="ListParagraph"/>
        <w:numPr>
          <w:ilvl w:val="3"/>
          <w:numId w:val="12"/>
        </w:numPr>
        <w:tabs>
          <w:tab w:val="left" w:pos="1802"/>
        </w:tabs>
        <w:ind w:right="172"/>
      </w:pPr>
      <w:r>
        <w:t>to submit appropriate treasury management and cash flow reports to the Finance and Resources Committee and the</w:t>
      </w:r>
      <w:r>
        <w:rPr>
          <w:spacing w:val="-4"/>
        </w:rPr>
        <w:t xml:space="preserve"> </w:t>
      </w:r>
      <w:r>
        <w:t>Board;</w:t>
      </w:r>
    </w:p>
    <w:p w14:paraId="7298D952" w14:textId="614EBA65" w:rsidR="00777944" w:rsidRDefault="00632D37" w:rsidP="00012AE5">
      <w:pPr>
        <w:pStyle w:val="ListParagraph"/>
        <w:numPr>
          <w:ilvl w:val="3"/>
          <w:numId w:val="12"/>
        </w:numPr>
        <w:tabs>
          <w:tab w:val="left" w:pos="1802"/>
        </w:tabs>
        <w:spacing w:before="118"/>
        <w:ind w:right="177"/>
      </w:pPr>
      <w:r>
        <w:t>to ensure the adequacy of treasury management resources and skills, and the effective division of treasury management</w:t>
      </w:r>
      <w:r>
        <w:rPr>
          <w:spacing w:val="-6"/>
        </w:rPr>
        <w:t xml:space="preserve"> </w:t>
      </w:r>
      <w:r>
        <w:t>responsibilities;</w:t>
      </w:r>
    </w:p>
    <w:p w14:paraId="6CD60B82" w14:textId="77777777" w:rsidR="00777944" w:rsidRDefault="00632D37" w:rsidP="00012AE5">
      <w:pPr>
        <w:pStyle w:val="ListParagraph"/>
        <w:numPr>
          <w:ilvl w:val="3"/>
          <w:numId w:val="12"/>
        </w:numPr>
        <w:tabs>
          <w:tab w:val="left" w:pos="1802"/>
        </w:tabs>
        <w:spacing w:before="120"/>
        <w:ind w:right="173"/>
      </w:pPr>
      <w:r>
        <w:t>to</w:t>
      </w:r>
      <w:r>
        <w:rPr>
          <w:spacing w:val="-12"/>
        </w:rPr>
        <w:t xml:space="preserve"> </w:t>
      </w:r>
      <w:r>
        <w:t>submit</w:t>
      </w:r>
      <w:r>
        <w:rPr>
          <w:spacing w:val="-13"/>
        </w:rPr>
        <w:t xml:space="preserve"> </w:t>
      </w:r>
      <w:r>
        <w:t>ad-hoc</w:t>
      </w:r>
      <w:r>
        <w:rPr>
          <w:spacing w:val="-13"/>
        </w:rPr>
        <w:t xml:space="preserve"> </w:t>
      </w:r>
      <w:r>
        <w:t>reports</w:t>
      </w:r>
      <w:r>
        <w:rPr>
          <w:spacing w:val="-15"/>
        </w:rPr>
        <w:t xml:space="preserve"> </w:t>
      </w:r>
      <w:r>
        <w:t>where</w:t>
      </w:r>
      <w:r>
        <w:rPr>
          <w:spacing w:val="-12"/>
        </w:rPr>
        <w:t xml:space="preserve"> </w:t>
      </w:r>
      <w:r>
        <w:t>required</w:t>
      </w:r>
      <w:r>
        <w:rPr>
          <w:spacing w:val="-16"/>
        </w:rPr>
        <w:t xml:space="preserve"> </w:t>
      </w:r>
      <w:r>
        <w:t>to</w:t>
      </w:r>
      <w:r>
        <w:rPr>
          <w:spacing w:val="-13"/>
        </w:rPr>
        <w:t xml:space="preserve"> </w:t>
      </w:r>
      <w:r>
        <w:t>support</w:t>
      </w:r>
      <w:r>
        <w:rPr>
          <w:spacing w:val="-15"/>
        </w:rPr>
        <w:t xml:space="preserve"> </w:t>
      </w:r>
      <w:r>
        <w:t>any</w:t>
      </w:r>
      <w:r>
        <w:rPr>
          <w:spacing w:val="-13"/>
        </w:rPr>
        <w:t xml:space="preserve"> </w:t>
      </w:r>
      <w:r>
        <w:t>proposed</w:t>
      </w:r>
      <w:r>
        <w:rPr>
          <w:spacing w:val="-13"/>
        </w:rPr>
        <w:t xml:space="preserve"> </w:t>
      </w:r>
      <w:r>
        <w:t>new</w:t>
      </w:r>
      <w:r>
        <w:rPr>
          <w:spacing w:val="-12"/>
        </w:rPr>
        <w:t xml:space="preserve"> </w:t>
      </w:r>
      <w:r>
        <w:t>borrowings</w:t>
      </w:r>
      <w:r>
        <w:rPr>
          <w:spacing w:val="-13"/>
        </w:rPr>
        <w:t xml:space="preserve"> </w:t>
      </w:r>
      <w:r>
        <w:t>or</w:t>
      </w:r>
      <w:r>
        <w:rPr>
          <w:spacing w:val="-15"/>
        </w:rPr>
        <w:t xml:space="preserve"> </w:t>
      </w:r>
      <w:r>
        <w:t>other significant treasury management decisions to the Finance and Resources Committee and the Board;</w:t>
      </w:r>
    </w:p>
    <w:p w14:paraId="74D5BCAC" w14:textId="0E6620E7" w:rsidR="00777944" w:rsidRDefault="00632D37" w:rsidP="00012AE5">
      <w:pPr>
        <w:pStyle w:val="ListParagraph"/>
        <w:numPr>
          <w:ilvl w:val="3"/>
          <w:numId w:val="12"/>
        </w:numPr>
        <w:tabs>
          <w:tab w:val="left" w:pos="1802"/>
        </w:tabs>
      </w:pPr>
      <w:r>
        <w:t>to review the performance of treasury management activities, promoting best</w:t>
      </w:r>
      <w:r>
        <w:rPr>
          <w:spacing w:val="-15"/>
        </w:rPr>
        <w:t xml:space="preserve"> </w:t>
      </w:r>
      <w:r>
        <w:t>value;</w:t>
      </w:r>
    </w:p>
    <w:p w14:paraId="7F08FFDA" w14:textId="1FA70966" w:rsidR="008A5510" w:rsidRDefault="008A5510" w:rsidP="00012AE5">
      <w:pPr>
        <w:pStyle w:val="ListParagraph"/>
        <w:numPr>
          <w:ilvl w:val="3"/>
          <w:numId w:val="12"/>
        </w:numPr>
        <w:tabs>
          <w:tab w:val="left" w:pos="1802"/>
        </w:tabs>
      </w:pPr>
      <w:r>
        <w:t>to recommend transfer of loans between fixed and variable rates where appropriate;</w:t>
      </w:r>
    </w:p>
    <w:p w14:paraId="46B41B9A" w14:textId="77777777" w:rsidR="00777944" w:rsidRDefault="00632D37" w:rsidP="00012AE5">
      <w:pPr>
        <w:pStyle w:val="ListParagraph"/>
        <w:numPr>
          <w:ilvl w:val="3"/>
          <w:numId w:val="12"/>
        </w:numPr>
        <w:tabs>
          <w:tab w:val="left" w:pos="1802"/>
        </w:tabs>
        <w:spacing w:before="120"/>
      </w:pPr>
      <w:r>
        <w:t>to confirm bank signatories for the University and its associated entities;</w:t>
      </w:r>
      <w:r>
        <w:rPr>
          <w:spacing w:val="-6"/>
        </w:rPr>
        <w:t xml:space="preserve"> </w:t>
      </w:r>
      <w:r>
        <w:t>and</w:t>
      </w:r>
    </w:p>
    <w:p w14:paraId="0693CC60" w14:textId="260A0285" w:rsidR="00777944" w:rsidRDefault="00632D37" w:rsidP="00012AE5">
      <w:pPr>
        <w:pStyle w:val="ListParagraph"/>
        <w:numPr>
          <w:ilvl w:val="3"/>
          <w:numId w:val="12"/>
        </w:numPr>
        <w:tabs>
          <w:tab w:val="left" w:pos="1802"/>
        </w:tabs>
      </w:pPr>
      <w:r>
        <w:t>to appoint and maintain relationships with external service</w:t>
      </w:r>
      <w:r>
        <w:rPr>
          <w:spacing w:val="-6"/>
        </w:rPr>
        <w:t xml:space="preserve"> </w:t>
      </w:r>
      <w:r>
        <w:t>providers.</w:t>
      </w:r>
    </w:p>
    <w:p w14:paraId="690F5F3D" w14:textId="77777777" w:rsidR="008A5510" w:rsidRDefault="008A5510" w:rsidP="008A5510">
      <w:pPr>
        <w:pStyle w:val="BodyText"/>
      </w:pPr>
    </w:p>
    <w:p w14:paraId="726134F2" w14:textId="0D36F03B" w:rsidR="00777944" w:rsidRDefault="00632D37" w:rsidP="00012AE5">
      <w:pPr>
        <w:pStyle w:val="BodyText"/>
        <w:numPr>
          <w:ilvl w:val="2"/>
          <w:numId w:val="12"/>
        </w:numPr>
      </w:pPr>
      <w:r>
        <w:t>Head of Financial</w:t>
      </w:r>
      <w:r>
        <w:rPr>
          <w:spacing w:val="-4"/>
        </w:rPr>
        <w:t xml:space="preserve"> </w:t>
      </w:r>
      <w:r w:rsidR="00C32A06">
        <w:t>Control</w:t>
      </w:r>
    </w:p>
    <w:p w14:paraId="16391DC7" w14:textId="77777777" w:rsidR="00777944" w:rsidRDefault="00632D37" w:rsidP="00012AE5">
      <w:pPr>
        <w:pStyle w:val="ListParagraph"/>
        <w:numPr>
          <w:ilvl w:val="3"/>
          <w:numId w:val="12"/>
        </w:numPr>
        <w:tabs>
          <w:tab w:val="left" w:pos="1802"/>
        </w:tabs>
        <w:spacing w:before="118"/>
        <w:ind w:right="174"/>
        <w:jc w:val="left"/>
      </w:pPr>
      <w:r>
        <w:t>to administer treasury management policies on a day-to-day basis, adhering to agreed policies and</w:t>
      </w:r>
      <w:r>
        <w:rPr>
          <w:spacing w:val="-3"/>
        </w:rPr>
        <w:t xml:space="preserve"> </w:t>
      </w:r>
      <w:r>
        <w:t>procedures;</w:t>
      </w:r>
    </w:p>
    <w:p w14:paraId="28382A7E" w14:textId="77777777" w:rsidR="00777944" w:rsidRDefault="00632D37" w:rsidP="00012AE5">
      <w:pPr>
        <w:pStyle w:val="ListParagraph"/>
        <w:numPr>
          <w:ilvl w:val="3"/>
          <w:numId w:val="12"/>
        </w:numPr>
        <w:tabs>
          <w:tab w:val="left" w:pos="1802"/>
        </w:tabs>
        <w:spacing w:before="120"/>
        <w:jc w:val="left"/>
      </w:pPr>
      <w:r>
        <w:t>to execute</w:t>
      </w:r>
      <w:r>
        <w:rPr>
          <w:spacing w:val="-4"/>
        </w:rPr>
        <w:t xml:space="preserve"> </w:t>
      </w:r>
      <w:r>
        <w:t>transactions;</w:t>
      </w:r>
    </w:p>
    <w:p w14:paraId="0DC2FD64" w14:textId="441757F6" w:rsidR="00777944" w:rsidRDefault="00632D37" w:rsidP="00012AE5">
      <w:pPr>
        <w:pStyle w:val="ListParagraph"/>
        <w:numPr>
          <w:ilvl w:val="3"/>
          <w:numId w:val="12"/>
        </w:numPr>
        <w:tabs>
          <w:tab w:val="left" w:pos="1802"/>
        </w:tabs>
        <w:jc w:val="left"/>
      </w:pPr>
      <w:r>
        <w:t>to maintain treasury management</w:t>
      </w:r>
      <w:r>
        <w:rPr>
          <w:spacing w:val="-7"/>
        </w:rPr>
        <w:t xml:space="preserve"> </w:t>
      </w:r>
      <w:r>
        <w:t>records</w:t>
      </w:r>
      <w:r w:rsidR="004F051B">
        <w:t xml:space="preserve"> via daily bank reconciliations</w:t>
      </w:r>
    </w:p>
    <w:p w14:paraId="0C7FA219" w14:textId="77777777" w:rsidR="00777944" w:rsidRDefault="00632D37" w:rsidP="00012AE5">
      <w:pPr>
        <w:pStyle w:val="ListParagraph"/>
        <w:numPr>
          <w:ilvl w:val="3"/>
          <w:numId w:val="12"/>
        </w:numPr>
        <w:tabs>
          <w:tab w:val="left" w:pos="1802"/>
        </w:tabs>
        <w:spacing w:before="118"/>
        <w:ind w:right="173"/>
        <w:jc w:val="left"/>
      </w:pPr>
      <w:r>
        <w:t>to supervise staff involved in treasury management activities and ensure that they are appropriately</w:t>
      </w:r>
      <w:r>
        <w:rPr>
          <w:spacing w:val="-1"/>
        </w:rPr>
        <w:t xml:space="preserve"> </w:t>
      </w:r>
      <w:r>
        <w:t>trained;</w:t>
      </w:r>
    </w:p>
    <w:p w14:paraId="177A5879" w14:textId="328541EB" w:rsidR="00777944" w:rsidRDefault="00632D37" w:rsidP="00012AE5">
      <w:pPr>
        <w:pStyle w:val="ListParagraph"/>
        <w:numPr>
          <w:ilvl w:val="3"/>
          <w:numId w:val="12"/>
        </w:numPr>
        <w:tabs>
          <w:tab w:val="left" w:pos="1802"/>
        </w:tabs>
        <w:ind w:right="176"/>
        <w:jc w:val="left"/>
      </w:pPr>
      <w:r>
        <w:t>to</w:t>
      </w:r>
      <w:r>
        <w:rPr>
          <w:spacing w:val="-14"/>
        </w:rPr>
        <w:t xml:space="preserve"> </w:t>
      </w:r>
      <w:r>
        <w:t>monitor</w:t>
      </w:r>
      <w:r>
        <w:rPr>
          <w:spacing w:val="-13"/>
        </w:rPr>
        <w:t xml:space="preserve"> </w:t>
      </w:r>
      <w:r>
        <w:t>performance</w:t>
      </w:r>
      <w:r>
        <w:rPr>
          <w:spacing w:val="-14"/>
        </w:rPr>
        <w:t xml:space="preserve"> </w:t>
      </w:r>
      <w:r>
        <w:t>on</w:t>
      </w:r>
      <w:r>
        <w:rPr>
          <w:spacing w:val="-16"/>
        </w:rPr>
        <w:t xml:space="preserve"> </w:t>
      </w:r>
      <w:r>
        <w:t>a</w:t>
      </w:r>
      <w:r>
        <w:rPr>
          <w:spacing w:val="-12"/>
        </w:rPr>
        <w:t xml:space="preserve"> </w:t>
      </w:r>
      <w:r>
        <w:t>day</w:t>
      </w:r>
      <w:r>
        <w:rPr>
          <w:spacing w:val="-12"/>
        </w:rPr>
        <w:t xml:space="preserve"> </w:t>
      </w:r>
      <w:r>
        <w:t>to</w:t>
      </w:r>
      <w:r>
        <w:rPr>
          <w:spacing w:val="-11"/>
        </w:rPr>
        <w:t xml:space="preserve"> </w:t>
      </w:r>
      <w:r>
        <w:t>day</w:t>
      </w:r>
      <w:r>
        <w:rPr>
          <w:spacing w:val="-12"/>
        </w:rPr>
        <w:t xml:space="preserve"> </w:t>
      </w:r>
      <w:r>
        <w:t>basis</w:t>
      </w:r>
      <w:r>
        <w:rPr>
          <w:spacing w:val="-12"/>
        </w:rPr>
        <w:t xml:space="preserve"> </w:t>
      </w:r>
      <w:r>
        <w:t>and</w:t>
      </w:r>
      <w:r>
        <w:rPr>
          <w:spacing w:val="-14"/>
        </w:rPr>
        <w:t xml:space="preserve"> </w:t>
      </w:r>
      <w:r>
        <w:t>submit</w:t>
      </w:r>
      <w:r>
        <w:rPr>
          <w:spacing w:val="-14"/>
        </w:rPr>
        <w:t xml:space="preserve"> </w:t>
      </w:r>
      <w:r>
        <w:t>management</w:t>
      </w:r>
      <w:r>
        <w:rPr>
          <w:spacing w:val="-12"/>
        </w:rPr>
        <w:t xml:space="preserve"> </w:t>
      </w:r>
      <w:r>
        <w:t>information</w:t>
      </w:r>
      <w:r>
        <w:rPr>
          <w:spacing w:val="-14"/>
        </w:rPr>
        <w:t xml:space="preserve"> </w:t>
      </w:r>
      <w:r>
        <w:t>reports to the Director of Finance</w:t>
      </w:r>
      <w:r w:rsidR="004F051B">
        <w:t xml:space="preserve"> if required</w:t>
      </w:r>
      <w:r>
        <w:t>;</w:t>
      </w:r>
      <w:r>
        <w:rPr>
          <w:spacing w:val="-8"/>
        </w:rPr>
        <w:t xml:space="preserve"> </w:t>
      </w:r>
      <w:r>
        <w:t>and</w:t>
      </w:r>
    </w:p>
    <w:p w14:paraId="4BA0E70F" w14:textId="77777777" w:rsidR="00777944" w:rsidRDefault="00632D37" w:rsidP="00012AE5">
      <w:pPr>
        <w:pStyle w:val="ListParagraph"/>
        <w:numPr>
          <w:ilvl w:val="3"/>
          <w:numId w:val="12"/>
        </w:numPr>
        <w:tabs>
          <w:tab w:val="left" w:pos="1802"/>
        </w:tabs>
        <w:jc w:val="left"/>
      </w:pPr>
      <w:r>
        <w:t>to identify and recommend opportunities for improved</w:t>
      </w:r>
      <w:r>
        <w:rPr>
          <w:spacing w:val="-4"/>
        </w:rPr>
        <w:t xml:space="preserve"> </w:t>
      </w:r>
      <w:r>
        <w:t>practices.</w:t>
      </w:r>
    </w:p>
    <w:p w14:paraId="574841AB" w14:textId="77777777" w:rsidR="00777944" w:rsidRDefault="00777944">
      <w:pPr>
        <w:pStyle w:val="BodyText"/>
        <w:rPr>
          <w:sz w:val="20"/>
        </w:rPr>
      </w:pPr>
    </w:p>
    <w:p w14:paraId="0A0C256D" w14:textId="77777777" w:rsidR="00777944" w:rsidRDefault="00777944">
      <w:pPr>
        <w:pStyle w:val="BodyText"/>
        <w:spacing w:before="9"/>
        <w:rPr>
          <w:sz w:val="17"/>
        </w:rPr>
      </w:pPr>
    </w:p>
    <w:p w14:paraId="0F047415" w14:textId="14A4B348"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Staff Training and Qualifications</w:t>
      </w:r>
    </w:p>
    <w:p w14:paraId="38E606EC" w14:textId="3B4B1C37" w:rsidR="00777944" w:rsidRPr="00FB126E" w:rsidRDefault="00632D37" w:rsidP="00FB126E">
      <w:pPr>
        <w:pStyle w:val="ListParagraph"/>
        <w:numPr>
          <w:ilvl w:val="0"/>
          <w:numId w:val="22"/>
        </w:numPr>
        <w:spacing w:before="0" w:after="120"/>
        <w:ind w:left="851" w:hanging="752"/>
        <w:rPr>
          <w:color w:val="252525"/>
        </w:rPr>
      </w:pPr>
      <w:r>
        <w:rPr>
          <w:color w:val="252525"/>
        </w:rPr>
        <w:t>The University recognises the importance of ensuring that all staff involved in the treasury management function are fully equipped to undertake the duties and responsibilities allocated to them.</w:t>
      </w:r>
    </w:p>
    <w:p w14:paraId="6BA45589" w14:textId="77777777" w:rsidR="00777944" w:rsidRPr="00FB126E" w:rsidRDefault="00632D37" w:rsidP="00FB126E">
      <w:pPr>
        <w:pStyle w:val="ListParagraph"/>
        <w:numPr>
          <w:ilvl w:val="0"/>
          <w:numId w:val="22"/>
        </w:numPr>
        <w:spacing w:before="0" w:after="120"/>
        <w:ind w:left="850" w:hanging="754"/>
        <w:rPr>
          <w:color w:val="252525"/>
        </w:rPr>
      </w:pPr>
      <w:r>
        <w:rPr>
          <w:color w:val="252525"/>
        </w:rPr>
        <w:t>The</w:t>
      </w:r>
      <w:r w:rsidRPr="00FB126E">
        <w:rPr>
          <w:color w:val="252525"/>
        </w:rPr>
        <w:t xml:space="preserve"> </w:t>
      </w:r>
      <w:r>
        <w:rPr>
          <w:color w:val="252525"/>
        </w:rPr>
        <w:t>University</w:t>
      </w:r>
      <w:r w:rsidRPr="00FB126E">
        <w:rPr>
          <w:color w:val="252525"/>
        </w:rPr>
        <w:t xml:space="preserve"> </w:t>
      </w:r>
      <w:r>
        <w:rPr>
          <w:color w:val="252525"/>
        </w:rPr>
        <w:t>will</w:t>
      </w:r>
      <w:r w:rsidRPr="00FB126E">
        <w:rPr>
          <w:color w:val="252525"/>
        </w:rPr>
        <w:t xml:space="preserve"> </w:t>
      </w:r>
      <w:r>
        <w:rPr>
          <w:color w:val="252525"/>
        </w:rPr>
        <w:t>seek</w:t>
      </w:r>
      <w:r w:rsidRPr="00FB126E">
        <w:rPr>
          <w:color w:val="252525"/>
        </w:rPr>
        <w:t xml:space="preserve"> </w:t>
      </w:r>
      <w:r>
        <w:rPr>
          <w:color w:val="252525"/>
        </w:rPr>
        <w:t>to</w:t>
      </w:r>
      <w:r w:rsidRPr="00FB126E">
        <w:rPr>
          <w:color w:val="252525"/>
        </w:rPr>
        <w:t xml:space="preserve"> </w:t>
      </w:r>
      <w:r>
        <w:rPr>
          <w:color w:val="252525"/>
        </w:rPr>
        <w:t>appoint</w:t>
      </w:r>
      <w:r w:rsidRPr="00FB126E">
        <w:rPr>
          <w:color w:val="252525"/>
        </w:rPr>
        <w:t xml:space="preserve"> </w:t>
      </w:r>
      <w:r>
        <w:rPr>
          <w:color w:val="252525"/>
        </w:rPr>
        <w:t>individuals</w:t>
      </w:r>
      <w:r w:rsidRPr="00FB126E">
        <w:rPr>
          <w:color w:val="252525"/>
        </w:rPr>
        <w:t xml:space="preserve"> </w:t>
      </w:r>
      <w:r>
        <w:rPr>
          <w:color w:val="252525"/>
        </w:rPr>
        <w:t>who</w:t>
      </w:r>
      <w:r w:rsidRPr="00FB126E">
        <w:rPr>
          <w:color w:val="252525"/>
        </w:rPr>
        <w:t xml:space="preserve"> </w:t>
      </w:r>
      <w:r>
        <w:rPr>
          <w:color w:val="252525"/>
        </w:rPr>
        <w:t>are</w:t>
      </w:r>
      <w:r w:rsidRPr="00FB126E">
        <w:rPr>
          <w:color w:val="252525"/>
        </w:rPr>
        <w:t xml:space="preserve"> </w:t>
      </w:r>
      <w:r>
        <w:rPr>
          <w:color w:val="252525"/>
        </w:rPr>
        <w:t>both</w:t>
      </w:r>
      <w:r w:rsidRPr="00FB126E">
        <w:rPr>
          <w:color w:val="252525"/>
        </w:rPr>
        <w:t xml:space="preserve"> </w:t>
      </w:r>
      <w:r>
        <w:rPr>
          <w:color w:val="252525"/>
        </w:rPr>
        <w:t>capable</w:t>
      </w:r>
      <w:r w:rsidRPr="00FB126E">
        <w:rPr>
          <w:color w:val="252525"/>
        </w:rPr>
        <w:t xml:space="preserve"> </w:t>
      </w:r>
      <w:r>
        <w:rPr>
          <w:color w:val="252525"/>
        </w:rPr>
        <w:t>and</w:t>
      </w:r>
      <w:r w:rsidRPr="00FB126E">
        <w:rPr>
          <w:color w:val="252525"/>
        </w:rPr>
        <w:t xml:space="preserve"> </w:t>
      </w:r>
      <w:r>
        <w:rPr>
          <w:color w:val="252525"/>
        </w:rPr>
        <w:t>experienced</w:t>
      </w:r>
      <w:r w:rsidRPr="00FB126E">
        <w:rPr>
          <w:color w:val="252525"/>
        </w:rPr>
        <w:t xml:space="preserve"> </w:t>
      </w:r>
      <w:r>
        <w:rPr>
          <w:color w:val="252525"/>
        </w:rPr>
        <w:t>and</w:t>
      </w:r>
      <w:r w:rsidRPr="00FB126E">
        <w:rPr>
          <w:color w:val="252525"/>
        </w:rPr>
        <w:t xml:space="preserve"> </w:t>
      </w:r>
      <w:r>
        <w:rPr>
          <w:color w:val="252525"/>
        </w:rPr>
        <w:t>will</w:t>
      </w:r>
      <w:r w:rsidRPr="00FB126E">
        <w:rPr>
          <w:color w:val="252525"/>
        </w:rPr>
        <w:t xml:space="preserve"> </w:t>
      </w:r>
      <w:r>
        <w:rPr>
          <w:color w:val="252525"/>
        </w:rPr>
        <w:t>provide training</w:t>
      </w:r>
      <w:r w:rsidRPr="00FB126E">
        <w:rPr>
          <w:color w:val="252525"/>
        </w:rPr>
        <w:t xml:space="preserve"> </w:t>
      </w:r>
      <w:r>
        <w:rPr>
          <w:color w:val="252525"/>
        </w:rPr>
        <w:t>for</w:t>
      </w:r>
      <w:r w:rsidRPr="00FB126E">
        <w:rPr>
          <w:color w:val="252525"/>
        </w:rPr>
        <w:t xml:space="preserve"> </w:t>
      </w:r>
      <w:r>
        <w:rPr>
          <w:color w:val="252525"/>
        </w:rPr>
        <w:t>staff</w:t>
      </w:r>
      <w:r w:rsidRPr="00FB126E">
        <w:rPr>
          <w:color w:val="252525"/>
        </w:rPr>
        <w:t xml:space="preserve"> </w:t>
      </w:r>
      <w:r>
        <w:rPr>
          <w:color w:val="252525"/>
        </w:rPr>
        <w:t>to</w:t>
      </w:r>
      <w:r w:rsidRPr="00FB126E">
        <w:rPr>
          <w:color w:val="252525"/>
        </w:rPr>
        <w:t xml:space="preserve"> </w:t>
      </w:r>
      <w:r>
        <w:rPr>
          <w:color w:val="252525"/>
        </w:rPr>
        <w:t>enable</w:t>
      </w:r>
      <w:r w:rsidRPr="00FB126E">
        <w:rPr>
          <w:color w:val="252525"/>
        </w:rPr>
        <w:t xml:space="preserve"> </w:t>
      </w:r>
      <w:r>
        <w:rPr>
          <w:color w:val="252525"/>
        </w:rPr>
        <w:t>them</w:t>
      </w:r>
      <w:r w:rsidRPr="00FB126E">
        <w:rPr>
          <w:color w:val="252525"/>
        </w:rPr>
        <w:t xml:space="preserve"> </w:t>
      </w:r>
      <w:r>
        <w:rPr>
          <w:color w:val="252525"/>
        </w:rPr>
        <w:t>to</w:t>
      </w:r>
      <w:r w:rsidRPr="00FB126E">
        <w:rPr>
          <w:color w:val="252525"/>
        </w:rPr>
        <w:t xml:space="preserve"> </w:t>
      </w:r>
      <w:r>
        <w:rPr>
          <w:color w:val="252525"/>
        </w:rPr>
        <w:t>acquire</w:t>
      </w:r>
      <w:r w:rsidRPr="00FB126E">
        <w:rPr>
          <w:color w:val="252525"/>
        </w:rPr>
        <w:t xml:space="preserve"> </w:t>
      </w:r>
      <w:r>
        <w:rPr>
          <w:color w:val="252525"/>
        </w:rPr>
        <w:t>and</w:t>
      </w:r>
      <w:r w:rsidRPr="00FB126E">
        <w:rPr>
          <w:color w:val="252525"/>
        </w:rPr>
        <w:t xml:space="preserve"> </w:t>
      </w:r>
      <w:r>
        <w:rPr>
          <w:color w:val="252525"/>
        </w:rPr>
        <w:t>maintain</w:t>
      </w:r>
      <w:r w:rsidRPr="00FB126E">
        <w:rPr>
          <w:color w:val="252525"/>
        </w:rPr>
        <w:t xml:space="preserve"> </w:t>
      </w:r>
      <w:r>
        <w:rPr>
          <w:color w:val="252525"/>
        </w:rPr>
        <w:t>an</w:t>
      </w:r>
      <w:r w:rsidRPr="00FB126E">
        <w:rPr>
          <w:color w:val="252525"/>
        </w:rPr>
        <w:t xml:space="preserve"> </w:t>
      </w:r>
      <w:r>
        <w:rPr>
          <w:color w:val="252525"/>
        </w:rPr>
        <w:t>appropriate</w:t>
      </w:r>
      <w:r w:rsidRPr="00FB126E">
        <w:rPr>
          <w:color w:val="252525"/>
        </w:rPr>
        <w:t xml:space="preserve"> </w:t>
      </w:r>
      <w:r>
        <w:rPr>
          <w:color w:val="252525"/>
        </w:rPr>
        <w:t>level</w:t>
      </w:r>
      <w:r w:rsidRPr="00FB126E">
        <w:rPr>
          <w:color w:val="252525"/>
        </w:rPr>
        <w:t xml:space="preserve"> </w:t>
      </w:r>
      <w:r>
        <w:rPr>
          <w:color w:val="252525"/>
        </w:rPr>
        <w:t>of</w:t>
      </w:r>
      <w:r w:rsidRPr="00FB126E">
        <w:rPr>
          <w:color w:val="252525"/>
        </w:rPr>
        <w:t xml:space="preserve"> </w:t>
      </w:r>
      <w:r>
        <w:rPr>
          <w:color w:val="252525"/>
        </w:rPr>
        <w:t>expertise,</w:t>
      </w:r>
      <w:r w:rsidRPr="00FB126E">
        <w:rPr>
          <w:color w:val="252525"/>
        </w:rPr>
        <w:t xml:space="preserve"> </w:t>
      </w:r>
      <w:r>
        <w:rPr>
          <w:color w:val="252525"/>
        </w:rPr>
        <w:t>knowledge and</w:t>
      </w:r>
      <w:r w:rsidRPr="00FB126E">
        <w:rPr>
          <w:color w:val="252525"/>
        </w:rPr>
        <w:t xml:space="preserve"> </w:t>
      </w:r>
      <w:r>
        <w:rPr>
          <w:color w:val="252525"/>
        </w:rPr>
        <w:t>skills.</w:t>
      </w:r>
    </w:p>
    <w:p w14:paraId="31B64FB1" w14:textId="0344B64C" w:rsidR="00777944" w:rsidRDefault="00777944">
      <w:pPr>
        <w:pStyle w:val="BodyText"/>
        <w:spacing w:before="5"/>
        <w:rPr>
          <w:sz w:val="25"/>
        </w:rPr>
      </w:pPr>
    </w:p>
    <w:p w14:paraId="7E1243B1" w14:textId="1DBBE573" w:rsidR="00CB62D6" w:rsidRDefault="00CB62D6">
      <w:pPr>
        <w:pStyle w:val="BodyText"/>
        <w:spacing w:before="5"/>
        <w:rPr>
          <w:sz w:val="25"/>
        </w:rPr>
      </w:pPr>
    </w:p>
    <w:p w14:paraId="4C5E38D4" w14:textId="77777777" w:rsidR="00CB62D6" w:rsidRDefault="00CB62D6">
      <w:pPr>
        <w:pStyle w:val="BodyText"/>
        <w:spacing w:before="5"/>
        <w:rPr>
          <w:sz w:val="25"/>
        </w:rPr>
      </w:pPr>
    </w:p>
    <w:p w14:paraId="3A1C0414" w14:textId="454C251D"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lastRenderedPageBreak/>
        <w:t>Use of External Service Providers</w:t>
      </w:r>
    </w:p>
    <w:p w14:paraId="5FD557BE" w14:textId="1FE0A157" w:rsidR="00777944" w:rsidRPr="00FB126E" w:rsidRDefault="00632D37" w:rsidP="00FB126E">
      <w:pPr>
        <w:pStyle w:val="ListParagraph"/>
        <w:numPr>
          <w:ilvl w:val="0"/>
          <w:numId w:val="24"/>
        </w:numPr>
        <w:spacing w:before="0" w:after="120"/>
        <w:ind w:left="851" w:hanging="752"/>
        <w:rPr>
          <w:color w:val="252525"/>
        </w:rPr>
      </w:pPr>
      <w:r>
        <w:rPr>
          <w:color w:val="252525"/>
        </w:rPr>
        <w:t>Where external providers of treasury management services are used in order to acquire access to specialist skills and resources, the University’s standard tendering process will be followed and value for money assessed considering all relevant factors including the cost, quality, reliability and scope of service.</w:t>
      </w:r>
    </w:p>
    <w:p w14:paraId="1694041E" w14:textId="77777777" w:rsidR="00777944" w:rsidRDefault="00777944">
      <w:pPr>
        <w:pStyle w:val="BodyText"/>
        <w:spacing w:before="4"/>
        <w:rPr>
          <w:sz w:val="25"/>
        </w:rPr>
      </w:pPr>
    </w:p>
    <w:p w14:paraId="476EC28C" w14:textId="5A2EE6E0" w:rsidR="00777944" w:rsidRPr="00526789" w:rsidRDefault="004F051B" w:rsidP="00526789">
      <w:pPr>
        <w:pStyle w:val="ListParagraph"/>
        <w:numPr>
          <w:ilvl w:val="0"/>
          <w:numId w:val="14"/>
        </w:numPr>
        <w:spacing w:before="0" w:after="120"/>
        <w:ind w:left="850" w:hanging="754"/>
        <w:rPr>
          <w:b/>
          <w:color w:val="252525"/>
          <w:sz w:val="24"/>
        </w:rPr>
      </w:pPr>
      <w:r w:rsidRPr="00526789">
        <w:rPr>
          <w:b/>
          <w:color w:val="252525"/>
          <w:sz w:val="24"/>
        </w:rPr>
        <w:t>Anti-</w:t>
      </w:r>
      <w:r w:rsidR="00632D37" w:rsidRPr="00526789">
        <w:rPr>
          <w:b/>
          <w:color w:val="252525"/>
          <w:sz w:val="24"/>
        </w:rPr>
        <w:t>Money Laundering</w:t>
      </w:r>
    </w:p>
    <w:p w14:paraId="7F2A51EB" w14:textId="0B77320C" w:rsidR="00777944" w:rsidRPr="00FB126E" w:rsidRDefault="00632D37" w:rsidP="00FB126E">
      <w:pPr>
        <w:pStyle w:val="ListParagraph"/>
        <w:numPr>
          <w:ilvl w:val="0"/>
          <w:numId w:val="25"/>
        </w:numPr>
        <w:spacing w:before="0" w:after="120"/>
        <w:ind w:left="851" w:hanging="752"/>
        <w:rPr>
          <w:color w:val="252525"/>
        </w:rPr>
      </w:pPr>
      <w:r>
        <w:rPr>
          <w:color w:val="252525"/>
        </w:rPr>
        <w:t>As any institution, the University may be the subject of attempts to involve it in a transaction involving the laundering of money. Accordingly, it will maintain procedures for verifying and recording the identity of counterparties and reporting suspicions, and will ensure that staff involved in this area are properly trained.</w:t>
      </w:r>
    </w:p>
    <w:p w14:paraId="15959524" w14:textId="77777777" w:rsidR="00777944" w:rsidRDefault="00777944">
      <w:pPr>
        <w:pStyle w:val="BodyText"/>
        <w:spacing w:before="2"/>
        <w:rPr>
          <w:sz w:val="25"/>
        </w:rPr>
      </w:pPr>
    </w:p>
    <w:p w14:paraId="268747CB" w14:textId="587FC1B2" w:rsidR="00777944" w:rsidRPr="00526789" w:rsidRDefault="00632D37" w:rsidP="00526789">
      <w:pPr>
        <w:pStyle w:val="ListParagraph"/>
        <w:numPr>
          <w:ilvl w:val="0"/>
          <w:numId w:val="14"/>
        </w:numPr>
        <w:spacing w:before="0" w:after="120"/>
        <w:ind w:left="850" w:hanging="754"/>
        <w:rPr>
          <w:b/>
          <w:color w:val="252525"/>
          <w:sz w:val="24"/>
        </w:rPr>
      </w:pPr>
      <w:r w:rsidRPr="00526789">
        <w:rPr>
          <w:b/>
          <w:color w:val="252525"/>
          <w:sz w:val="24"/>
        </w:rPr>
        <w:t>Subsidiary Companies</w:t>
      </w:r>
    </w:p>
    <w:p w14:paraId="2ED9F5B0" w14:textId="77777777" w:rsidR="00777944" w:rsidRPr="00FB126E" w:rsidRDefault="00632D37" w:rsidP="00FB126E">
      <w:pPr>
        <w:pStyle w:val="ListParagraph"/>
        <w:numPr>
          <w:ilvl w:val="0"/>
          <w:numId w:val="26"/>
        </w:numPr>
        <w:spacing w:before="0" w:after="120"/>
        <w:ind w:left="851" w:hanging="752"/>
        <w:rPr>
          <w:color w:val="252525"/>
        </w:rPr>
      </w:pPr>
      <w:r>
        <w:rPr>
          <w:color w:val="252525"/>
        </w:rPr>
        <w:t>Where</w:t>
      </w:r>
      <w:r w:rsidRPr="00FB126E">
        <w:rPr>
          <w:color w:val="252525"/>
        </w:rPr>
        <w:t xml:space="preserve"> </w:t>
      </w:r>
      <w:r>
        <w:rPr>
          <w:color w:val="252525"/>
        </w:rPr>
        <w:t>agreed</w:t>
      </w:r>
      <w:r w:rsidRPr="00FB126E">
        <w:rPr>
          <w:color w:val="252525"/>
        </w:rPr>
        <w:t xml:space="preserve"> </w:t>
      </w:r>
      <w:r>
        <w:rPr>
          <w:color w:val="252525"/>
        </w:rPr>
        <w:t>with</w:t>
      </w:r>
      <w:r w:rsidRPr="00FB126E">
        <w:rPr>
          <w:color w:val="252525"/>
        </w:rPr>
        <w:t xml:space="preserve"> </w:t>
      </w:r>
      <w:r>
        <w:rPr>
          <w:color w:val="252525"/>
        </w:rPr>
        <w:t>their</w:t>
      </w:r>
      <w:r w:rsidRPr="00FB126E">
        <w:rPr>
          <w:color w:val="252525"/>
        </w:rPr>
        <w:t xml:space="preserve"> </w:t>
      </w:r>
      <w:r>
        <w:rPr>
          <w:color w:val="252525"/>
        </w:rPr>
        <w:t>respective</w:t>
      </w:r>
      <w:r w:rsidRPr="00FB126E">
        <w:rPr>
          <w:color w:val="252525"/>
        </w:rPr>
        <w:t xml:space="preserve"> </w:t>
      </w:r>
      <w:r>
        <w:rPr>
          <w:color w:val="252525"/>
        </w:rPr>
        <w:t>boards,</w:t>
      </w:r>
      <w:r w:rsidRPr="00FB126E">
        <w:rPr>
          <w:color w:val="252525"/>
        </w:rPr>
        <w:t xml:space="preserve"> </w:t>
      </w:r>
      <w:r>
        <w:rPr>
          <w:color w:val="252525"/>
        </w:rPr>
        <w:t>balances</w:t>
      </w:r>
      <w:r w:rsidRPr="00FB126E">
        <w:rPr>
          <w:color w:val="252525"/>
        </w:rPr>
        <w:t xml:space="preserve"> </w:t>
      </w:r>
      <w:r>
        <w:rPr>
          <w:color w:val="252525"/>
        </w:rPr>
        <w:t>carried</w:t>
      </w:r>
      <w:r w:rsidRPr="00FB126E">
        <w:rPr>
          <w:color w:val="252525"/>
        </w:rPr>
        <w:t xml:space="preserve"> </w:t>
      </w:r>
      <w:r>
        <w:rPr>
          <w:color w:val="252525"/>
        </w:rPr>
        <w:t>by</w:t>
      </w:r>
      <w:r w:rsidRPr="00FB126E">
        <w:rPr>
          <w:color w:val="252525"/>
        </w:rPr>
        <w:t xml:space="preserve"> </w:t>
      </w:r>
      <w:r>
        <w:rPr>
          <w:color w:val="252525"/>
        </w:rPr>
        <w:t>subsidiary</w:t>
      </w:r>
      <w:r w:rsidRPr="00FB126E">
        <w:rPr>
          <w:color w:val="252525"/>
        </w:rPr>
        <w:t xml:space="preserve"> </w:t>
      </w:r>
      <w:r>
        <w:rPr>
          <w:color w:val="252525"/>
        </w:rPr>
        <w:t>companies</w:t>
      </w:r>
      <w:r w:rsidRPr="00FB126E">
        <w:rPr>
          <w:color w:val="252525"/>
        </w:rPr>
        <w:t xml:space="preserve"> </w:t>
      </w:r>
      <w:r>
        <w:rPr>
          <w:color w:val="252525"/>
        </w:rPr>
        <w:t>to</w:t>
      </w:r>
      <w:r w:rsidRPr="00FB126E">
        <w:rPr>
          <w:color w:val="252525"/>
        </w:rPr>
        <w:t xml:space="preserve"> </w:t>
      </w:r>
      <w:r>
        <w:rPr>
          <w:color w:val="252525"/>
        </w:rPr>
        <w:t>the</w:t>
      </w:r>
      <w:r w:rsidRPr="00FB126E">
        <w:rPr>
          <w:color w:val="252525"/>
        </w:rPr>
        <w:t xml:space="preserve"> </w:t>
      </w:r>
      <w:r>
        <w:rPr>
          <w:color w:val="252525"/>
        </w:rPr>
        <w:t>University may be aggregated with those of the University for investment</w:t>
      </w:r>
      <w:r w:rsidRPr="00FB126E">
        <w:rPr>
          <w:color w:val="252525"/>
        </w:rPr>
        <w:t xml:space="preserve"> </w:t>
      </w:r>
      <w:r>
        <w:rPr>
          <w:color w:val="252525"/>
        </w:rPr>
        <w:t>purposes.</w:t>
      </w:r>
    </w:p>
    <w:p w14:paraId="7AB32A97" w14:textId="77777777" w:rsidR="00777944" w:rsidRPr="00FB126E" w:rsidRDefault="00632D37" w:rsidP="00FB126E">
      <w:pPr>
        <w:pStyle w:val="ListParagraph"/>
        <w:numPr>
          <w:ilvl w:val="0"/>
          <w:numId w:val="26"/>
        </w:numPr>
        <w:spacing w:before="0" w:after="120"/>
        <w:ind w:left="850" w:hanging="754"/>
        <w:rPr>
          <w:color w:val="252525"/>
        </w:rPr>
      </w:pPr>
      <w:r>
        <w:rPr>
          <w:color w:val="252525"/>
        </w:rPr>
        <w:t>Any borrowing requirements of University subsidiary companies will be met by an internal loan from the University. To the extent that the University is unable to meet those requirements from its own cash flow, any external borrowings will be in the University’s name, as the relevant legal entity. The terms and conditions of any such loan(s) require approval by the University Finance and Resources Committee.</w:t>
      </w:r>
    </w:p>
    <w:p w14:paraId="551EFE99" w14:textId="77777777" w:rsidR="007D6746" w:rsidRDefault="007D6746">
      <w:pPr>
        <w:pStyle w:val="Heading1"/>
        <w:spacing w:before="41"/>
        <w:ind w:left="100"/>
        <w:jc w:val="left"/>
        <w:rPr>
          <w:color w:val="252525"/>
        </w:rPr>
      </w:pPr>
    </w:p>
    <w:p w14:paraId="310245E3" w14:textId="56B0E1AF" w:rsidR="00777944" w:rsidRDefault="006572B9" w:rsidP="006572B9">
      <w:pPr>
        <w:pStyle w:val="Heading1"/>
        <w:numPr>
          <w:ilvl w:val="0"/>
          <w:numId w:val="14"/>
        </w:numPr>
        <w:spacing w:before="41"/>
        <w:jc w:val="left"/>
      </w:pPr>
      <w:r>
        <w:rPr>
          <w:color w:val="252525"/>
        </w:rPr>
        <w:t xml:space="preserve">       </w:t>
      </w:r>
      <w:r w:rsidR="00632D37">
        <w:rPr>
          <w:color w:val="252525"/>
        </w:rPr>
        <w:t>Schedule of Short-Term Investment Criteria</w:t>
      </w:r>
    </w:p>
    <w:p w14:paraId="3F3FED6E" w14:textId="77777777" w:rsidR="00777944" w:rsidRDefault="00777944">
      <w:pPr>
        <w:pStyle w:val="BodyText"/>
        <w:rPr>
          <w:b/>
          <w:sz w:val="20"/>
        </w:rPr>
      </w:pPr>
    </w:p>
    <w:p w14:paraId="1284783E" w14:textId="77777777" w:rsidR="00777944" w:rsidRDefault="00632D37">
      <w:pPr>
        <w:pStyle w:val="BodyText"/>
        <w:spacing w:before="1"/>
        <w:ind w:left="100"/>
      </w:pPr>
      <w:r>
        <w:rPr>
          <w:color w:val="252525"/>
        </w:rPr>
        <w:t>Short term investments shall be placed only with institutions and instruments meeting the following criteria:</w:t>
      </w:r>
    </w:p>
    <w:p w14:paraId="7F05AFD9" w14:textId="77777777" w:rsidR="00777944" w:rsidRDefault="00777944">
      <w:pPr>
        <w:pStyle w:val="BodyText"/>
        <w:spacing w:after="1"/>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870"/>
        <w:gridCol w:w="1011"/>
        <w:gridCol w:w="992"/>
        <w:gridCol w:w="1008"/>
        <w:gridCol w:w="941"/>
        <w:gridCol w:w="1956"/>
      </w:tblGrid>
      <w:tr w:rsidR="00777944" w14:paraId="70D67AE6" w14:textId="77777777">
        <w:trPr>
          <w:trHeight w:val="268"/>
        </w:trPr>
        <w:tc>
          <w:tcPr>
            <w:tcW w:w="3870" w:type="dxa"/>
            <w:vMerge w:val="restart"/>
          </w:tcPr>
          <w:p w14:paraId="1838030F" w14:textId="77777777" w:rsidR="00777944" w:rsidRDefault="00632D37">
            <w:pPr>
              <w:pStyle w:val="TableParagraph"/>
              <w:spacing w:line="268" w:lineRule="exact"/>
              <w:ind w:left="107"/>
              <w:rPr>
                <w:b/>
              </w:rPr>
            </w:pPr>
            <w:r>
              <w:rPr>
                <w:b/>
                <w:color w:val="252525"/>
              </w:rPr>
              <w:t>Counterparties</w:t>
            </w:r>
          </w:p>
        </w:tc>
        <w:tc>
          <w:tcPr>
            <w:tcW w:w="3011" w:type="dxa"/>
            <w:gridSpan w:val="3"/>
          </w:tcPr>
          <w:p w14:paraId="37DA073A" w14:textId="77777777" w:rsidR="00777944" w:rsidRDefault="00632D37">
            <w:pPr>
              <w:pStyle w:val="TableParagraph"/>
              <w:ind w:left="107"/>
              <w:rPr>
                <w:b/>
              </w:rPr>
            </w:pPr>
            <w:r>
              <w:rPr>
                <w:b/>
                <w:color w:val="252525"/>
              </w:rPr>
              <w:t>Minimum Credit Rating</w:t>
            </w:r>
          </w:p>
        </w:tc>
        <w:tc>
          <w:tcPr>
            <w:tcW w:w="941" w:type="dxa"/>
            <w:vMerge w:val="restart"/>
          </w:tcPr>
          <w:p w14:paraId="42541F6D" w14:textId="77777777" w:rsidR="00777944" w:rsidRDefault="00632D37">
            <w:pPr>
              <w:pStyle w:val="TableParagraph"/>
              <w:spacing w:line="268" w:lineRule="exact"/>
              <w:rPr>
                <w:b/>
              </w:rPr>
            </w:pPr>
            <w:r>
              <w:rPr>
                <w:b/>
                <w:color w:val="252525"/>
              </w:rPr>
              <w:t>Limits</w:t>
            </w:r>
          </w:p>
        </w:tc>
        <w:tc>
          <w:tcPr>
            <w:tcW w:w="1956" w:type="dxa"/>
            <w:vMerge w:val="restart"/>
          </w:tcPr>
          <w:p w14:paraId="30466CE5" w14:textId="77777777" w:rsidR="00777944" w:rsidRDefault="00632D37">
            <w:pPr>
              <w:pStyle w:val="TableParagraph"/>
              <w:spacing w:line="268" w:lineRule="exact"/>
              <w:rPr>
                <w:b/>
              </w:rPr>
            </w:pPr>
            <w:r>
              <w:rPr>
                <w:b/>
                <w:color w:val="252525"/>
              </w:rPr>
              <w:t>Maximum period</w:t>
            </w:r>
          </w:p>
          <w:p w14:paraId="18CC4DEF" w14:textId="77777777" w:rsidR="00777944" w:rsidRDefault="00632D37">
            <w:pPr>
              <w:pStyle w:val="TableParagraph"/>
              <w:spacing w:line="259" w:lineRule="exact"/>
              <w:rPr>
                <w:b/>
              </w:rPr>
            </w:pPr>
            <w:r>
              <w:rPr>
                <w:b/>
                <w:color w:val="252525"/>
              </w:rPr>
              <w:t>of placement</w:t>
            </w:r>
          </w:p>
        </w:tc>
      </w:tr>
      <w:tr w:rsidR="00777944" w14:paraId="007747A6" w14:textId="77777777">
        <w:trPr>
          <w:trHeight w:val="268"/>
        </w:trPr>
        <w:tc>
          <w:tcPr>
            <w:tcW w:w="3870" w:type="dxa"/>
            <w:vMerge/>
            <w:tcBorders>
              <w:top w:val="nil"/>
            </w:tcBorders>
          </w:tcPr>
          <w:p w14:paraId="6F35C8C8" w14:textId="77777777" w:rsidR="00777944" w:rsidRDefault="00777944">
            <w:pPr>
              <w:rPr>
                <w:sz w:val="2"/>
                <w:szCs w:val="2"/>
              </w:rPr>
            </w:pPr>
          </w:p>
        </w:tc>
        <w:tc>
          <w:tcPr>
            <w:tcW w:w="1011" w:type="dxa"/>
            <w:shd w:val="clear" w:color="auto" w:fill="F1F1F1"/>
          </w:tcPr>
          <w:p w14:paraId="7D648AFA" w14:textId="77777777" w:rsidR="00777944" w:rsidRDefault="00632D37">
            <w:pPr>
              <w:pStyle w:val="TableParagraph"/>
              <w:ind w:left="107"/>
            </w:pPr>
            <w:r>
              <w:rPr>
                <w:color w:val="252525"/>
              </w:rPr>
              <w:t>S&amp;P</w:t>
            </w:r>
          </w:p>
        </w:tc>
        <w:tc>
          <w:tcPr>
            <w:tcW w:w="992" w:type="dxa"/>
            <w:shd w:val="clear" w:color="auto" w:fill="F1F1F1"/>
          </w:tcPr>
          <w:p w14:paraId="15348F6F" w14:textId="77777777" w:rsidR="00777944" w:rsidRDefault="00632D37">
            <w:pPr>
              <w:pStyle w:val="TableParagraph"/>
            </w:pPr>
            <w:r>
              <w:rPr>
                <w:color w:val="252525"/>
              </w:rPr>
              <w:t>Moody’s</w:t>
            </w:r>
          </w:p>
        </w:tc>
        <w:tc>
          <w:tcPr>
            <w:tcW w:w="1008" w:type="dxa"/>
            <w:shd w:val="clear" w:color="auto" w:fill="F1F1F1"/>
          </w:tcPr>
          <w:p w14:paraId="1C6F5D7C" w14:textId="77777777" w:rsidR="00777944" w:rsidRDefault="00632D37">
            <w:pPr>
              <w:pStyle w:val="TableParagraph"/>
            </w:pPr>
            <w:r>
              <w:rPr>
                <w:color w:val="252525"/>
              </w:rPr>
              <w:t>Fitch</w:t>
            </w:r>
          </w:p>
        </w:tc>
        <w:tc>
          <w:tcPr>
            <w:tcW w:w="941" w:type="dxa"/>
            <w:vMerge/>
            <w:tcBorders>
              <w:top w:val="nil"/>
            </w:tcBorders>
          </w:tcPr>
          <w:p w14:paraId="77620E73" w14:textId="77777777" w:rsidR="00777944" w:rsidRDefault="00777944">
            <w:pPr>
              <w:rPr>
                <w:sz w:val="2"/>
                <w:szCs w:val="2"/>
              </w:rPr>
            </w:pPr>
          </w:p>
        </w:tc>
        <w:tc>
          <w:tcPr>
            <w:tcW w:w="1956" w:type="dxa"/>
            <w:vMerge/>
            <w:tcBorders>
              <w:top w:val="nil"/>
            </w:tcBorders>
          </w:tcPr>
          <w:p w14:paraId="07D138A8" w14:textId="77777777" w:rsidR="00777944" w:rsidRDefault="00777944">
            <w:pPr>
              <w:rPr>
                <w:sz w:val="2"/>
                <w:szCs w:val="2"/>
              </w:rPr>
            </w:pPr>
          </w:p>
        </w:tc>
      </w:tr>
      <w:tr w:rsidR="00777944" w14:paraId="023516F0" w14:textId="77777777">
        <w:trPr>
          <w:trHeight w:val="268"/>
        </w:trPr>
        <w:tc>
          <w:tcPr>
            <w:tcW w:w="3870" w:type="dxa"/>
          </w:tcPr>
          <w:p w14:paraId="7B044AC5" w14:textId="77777777" w:rsidR="00777944" w:rsidRDefault="00632D37">
            <w:pPr>
              <w:pStyle w:val="TableParagraph"/>
              <w:ind w:left="107"/>
            </w:pPr>
            <w:r>
              <w:rPr>
                <w:color w:val="252525"/>
              </w:rPr>
              <w:t>University’s appointed banking partner</w:t>
            </w:r>
          </w:p>
        </w:tc>
        <w:tc>
          <w:tcPr>
            <w:tcW w:w="1011" w:type="dxa"/>
          </w:tcPr>
          <w:p w14:paraId="6EB572DB" w14:textId="77777777" w:rsidR="00777944" w:rsidRDefault="00632D37">
            <w:pPr>
              <w:pStyle w:val="TableParagraph"/>
              <w:ind w:left="107"/>
            </w:pPr>
            <w:r>
              <w:rPr>
                <w:color w:val="252525"/>
              </w:rPr>
              <w:t>AA/A1</w:t>
            </w:r>
          </w:p>
        </w:tc>
        <w:tc>
          <w:tcPr>
            <w:tcW w:w="992" w:type="dxa"/>
          </w:tcPr>
          <w:p w14:paraId="42043AB6" w14:textId="77777777" w:rsidR="00777944" w:rsidRDefault="00632D37">
            <w:pPr>
              <w:pStyle w:val="TableParagraph"/>
            </w:pPr>
            <w:r>
              <w:rPr>
                <w:color w:val="252525"/>
              </w:rPr>
              <w:t>Aa/P1</w:t>
            </w:r>
          </w:p>
        </w:tc>
        <w:tc>
          <w:tcPr>
            <w:tcW w:w="1008" w:type="dxa"/>
          </w:tcPr>
          <w:p w14:paraId="374D3B66" w14:textId="77777777" w:rsidR="00777944" w:rsidRDefault="00632D37">
            <w:pPr>
              <w:pStyle w:val="TableParagraph"/>
            </w:pPr>
            <w:r>
              <w:rPr>
                <w:color w:val="252525"/>
              </w:rPr>
              <w:t>AA/F1</w:t>
            </w:r>
          </w:p>
        </w:tc>
        <w:tc>
          <w:tcPr>
            <w:tcW w:w="941" w:type="dxa"/>
          </w:tcPr>
          <w:p w14:paraId="28EC8562" w14:textId="77777777" w:rsidR="00777944" w:rsidRDefault="00632D37">
            <w:pPr>
              <w:pStyle w:val="TableParagraph"/>
            </w:pPr>
            <w:r>
              <w:rPr>
                <w:color w:val="252525"/>
              </w:rPr>
              <w:t>£20m</w:t>
            </w:r>
          </w:p>
        </w:tc>
        <w:tc>
          <w:tcPr>
            <w:tcW w:w="1956" w:type="dxa"/>
          </w:tcPr>
          <w:p w14:paraId="14C5C577" w14:textId="77777777" w:rsidR="00777944" w:rsidRDefault="00632D37">
            <w:pPr>
              <w:pStyle w:val="TableParagraph"/>
            </w:pPr>
            <w:r>
              <w:rPr>
                <w:color w:val="252525"/>
              </w:rPr>
              <w:t>Up to 12 months</w:t>
            </w:r>
          </w:p>
        </w:tc>
      </w:tr>
      <w:tr w:rsidR="00777944" w14:paraId="5C586C61" w14:textId="77777777">
        <w:trPr>
          <w:trHeight w:val="268"/>
        </w:trPr>
        <w:tc>
          <w:tcPr>
            <w:tcW w:w="3870" w:type="dxa"/>
            <w:shd w:val="clear" w:color="auto" w:fill="F1F1F1"/>
          </w:tcPr>
          <w:p w14:paraId="49BDAB36" w14:textId="77777777" w:rsidR="00777944" w:rsidRDefault="00632D37">
            <w:pPr>
              <w:pStyle w:val="TableParagraph"/>
              <w:ind w:left="107"/>
            </w:pPr>
            <w:r>
              <w:rPr>
                <w:color w:val="252525"/>
              </w:rPr>
              <w:t>UK bank, building society or equivalent</w:t>
            </w:r>
          </w:p>
        </w:tc>
        <w:tc>
          <w:tcPr>
            <w:tcW w:w="1011" w:type="dxa"/>
            <w:shd w:val="clear" w:color="auto" w:fill="F1F1F1"/>
          </w:tcPr>
          <w:p w14:paraId="0C5E0F0A" w14:textId="77777777" w:rsidR="00777944" w:rsidRDefault="00632D37">
            <w:pPr>
              <w:pStyle w:val="TableParagraph"/>
              <w:ind w:left="107"/>
            </w:pPr>
            <w:r>
              <w:rPr>
                <w:color w:val="252525"/>
              </w:rPr>
              <w:t>AA/A1</w:t>
            </w:r>
          </w:p>
        </w:tc>
        <w:tc>
          <w:tcPr>
            <w:tcW w:w="992" w:type="dxa"/>
            <w:shd w:val="clear" w:color="auto" w:fill="F1F1F1"/>
          </w:tcPr>
          <w:p w14:paraId="0F73A3A4" w14:textId="77777777" w:rsidR="00777944" w:rsidRDefault="00632D37">
            <w:pPr>
              <w:pStyle w:val="TableParagraph"/>
            </w:pPr>
            <w:r>
              <w:rPr>
                <w:color w:val="252525"/>
              </w:rPr>
              <w:t>Aa/P1</w:t>
            </w:r>
          </w:p>
        </w:tc>
        <w:tc>
          <w:tcPr>
            <w:tcW w:w="1008" w:type="dxa"/>
            <w:shd w:val="clear" w:color="auto" w:fill="F1F1F1"/>
          </w:tcPr>
          <w:p w14:paraId="6259761C" w14:textId="77777777" w:rsidR="00777944" w:rsidRDefault="00632D37">
            <w:pPr>
              <w:pStyle w:val="TableParagraph"/>
            </w:pPr>
            <w:r>
              <w:rPr>
                <w:color w:val="252525"/>
              </w:rPr>
              <w:t>AA/F1</w:t>
            </w:r>
          </w:p>
        </w:tc>
        <w:tc>
          <w:tcPr>
            <w:tcW w:w="941" w:type="dxa"/>
            <w:shd w:val="clear" w:color="auto" w:fill="F1F1F1"/>
          </w:tcPr>
          <w:p w14:paraId="1D14FE78" w14:textId="77777777" w:rsidR="00777944" w:rsidRDefault="00632D37">
            <w:pPr>
              <w:pStyle w:val="TableParagraph"/>
            </w:pPr>
            <w:r>
              <w:rPr>
                <w:color w:val="252525"/>
              </w:rPr>
              <w:t>£5m</w:t>
            </w:r>
          </w:p>
        </w:tc>
        <w:tc>
          <w:tcPr>
            <w:tcW w:w="1956" w:type="dxa"/>
            <w:shd w:val="clear" w:color="auto" w:fill="F1F1F1"/>
          </w:tcPr>
          <w:p w14:paraId="49730375" w14:textId="77777777" w:rsidR="00777944" w:rsidRDefault="00632D37">
            <w:pPr>
              <w:pStyle w:val="TableParagraph"/>
            </w:pPr>
            <w:r>
              <w:rPr>
                <w:color w:val="252525"/>
              </w:rPr>
              <w:t>Up to 12 months</w:t>
            </w:r>
          </w:p>
        </w:tc>
      </w:tr>
      <w:tr w:rsidR="00777944" w14:paraId="450C6DED" w14:textId="77777777">
        <w:trPr>
          <w:trHeight w:val="268"/>
        </w:trPr>
        <w:tc>
          <w:tcPr>
            <w:tcW w:w="3870" w:type="dxa"/>
          </w:tcPr>
          <w:p w14:paraId="4742AD04" w14:textId="77777777" w:rsidR="00777944" w:rsidRDefault="00632D37">
            <w:pPr>
              <w:pStyle w:val="TableParagraph"/>
              <w:ind w:left="107"/>
            </w:pPr>
            <w:r>
              <w:rPr>
                <w:color w:val="252525"/>
              </w:rPr>
              <w:t>Money market funds</w:t>
            </w:r>
          </w:p>
        </w:tc>
        <w:tc>
          <w:tcPr>
            <w:tcW w:w="1011" w:type="dxa"/>
          </w:tcPr>
          <w:p w14:paraId="63F43BE2" w14:textId="77777777" w:rsidR="00777944" w:rsidRDefault="00632D37">
            <w:pPr>
              <w:pStyle w:val="TableParagraph"/>
              <w:ind w:left="107"/>
            </w:pPr>
            <w:r>
              <w:rPr>
                <w:color w:val="252525"/>
              </w:rPr>
              <w:t>AAA/A1</w:t>
            </w:r>
          </w:p>
        </w:tc>
        <w:tc>
          <w:tcPr>
            <w:tcW w:w="992" w:type="dxa"/>
          </w:tcPr>
          <w:p w14:paraId="2BAA273E" w14:textId="77777777" w:rsidR="00777944" w:rsidRDefault="00632D37">
            <w:pPr>
              <w:pStyle w:val="TableParagraph"/>
            </w:pPr>
            <w:proofErr w:type="spellStart"/>
            <w:r>
              <w:rPr>
                <w:color w:val="252525"/>
              </w:rPr>
              <w:t>Aaa</w:t>
            </w:r>
            <w:proofErr w:type="spellEnd"/>
            <w:r>
              <w:rPr>
                <w:color w:val="252525"/>
              </w:rPr>
              <w:t>/P1</w:t>
            </w:r>
          </w:p>
        </w:tc>
        <w:tc>
          <w:tcPr>
            <w:tcW w:w="1008" w:type="dxa"/>
          </w:tcPr>
          <w:p w14:paraId="39B03CB5" w14:textId="77777777" w:rsidR="00777944" w:rsidRDefault="00632D37">
            <w:pPr>
              <w:pStyle w:val="TableParagraph"/>
            </w:pPr>
            <w:r>
              <w:rPr>
                <w:color w:val="252525"/>
              </w:rPr>
              <w:t>AAA/F1+</w:t>
            </w:r>
          </w:p>
        </w:tc>
        <w:tc>
          <w:tcPr>
            <w:tcW w:w="941" w:type="dxa"/>
          </w:tcPr>
          <w:p w14:paraId="3915B4A9" w14:textId="77777777" w:rsidR="00777944" w:rsidRDefault="00632D37">
            <w:pPr>
              <w:pStyle w:val="TableParagraph"/>
            </w:pPr>
            <w:r>
              <w:rPr>
                <w:color w:val="252525"/>
              </w:rPr>
              <w:t>£5m</w:t>
            </w:r>
          </w:p>
        </w:tc>
        <w:tc>
          <w:tcPr>
            <w:tcW w:w="1956" w:type="dxa"/>
          </w:tcPr>
          <w:p w14:paraId="10C0871F" w14:textId="77777777" w:rsidR="00777944" w:rsidRDefault="00632D37">
            <w:pPr>
              <w:pStyle w:val="TableParagraph"/>
            </w:pPr>
            <w:r>
              <w:rPr>
                <w:color w:val="252525"/>
              </w:rPr>
              <w:t>Up to 3 months</w:t>
            </w:r>
          </w:p>
        </w:tc>
      </w:tr>
      <w:tr w:rsidR="00777944" w14:paraId="20DCA241" w14:textId="77777777">
        <w:trPr>
          <w:trHeight w:val="268"/>
        </w:trPr>
        <w:tc>
          <w:tcPr>
            <w:tcW w:w="3870" w:type="dxa"/>
            <w:shd w:val="clear" w:color="auto" w:fill="F1F1F1"/>
          </w:tcPr>
          <w:p w14:paraId="08E209BF" w14:textId="77777777" w:rsidR="00777944" w:rsidRDefault="00632D37">
            <w:pPr>
              <w:pStyle w:val="TableParagraph"/>
              <w:ind w:left="107"/>
            </w:pPr>
            <w:r>
              <w:rPr>
                <w:color w:val="252525"/>
              </w:rPr>
              <w:t>Treasury Bills</w:t>
            </w:r>
          </w:p>
        </w:tc>
        <w:tc>
          <w:tcPr>
            <w:tcW w:w="3011" w:type="dxa"/>
            <w:gridSpan w:val="3"/>
            <w:shd w:val="clear" w:color="auto" w:fill="F1F1F1"/>
          </w:tcPr>
          <w:p w14:paraId="629CA666" w14:textId="77777777" w:rsidR="00777944" w:rsidRDefault="00632D37">
            <w:pPr>
              <w:pStyle w:val="TableParagraph"/>
              <w:ind w:left="1304" w:right="1301"/>
              <w:jc w:val="center"/>
            </w:pPr>
            <w:r>
              <w:rPr>
                <w:color w:val="252525"/>
              </w:rPr>
              <w:t>N/A</w:t>
            </w:r>
          </w:p>
        </w:tc>
        <w:tc>
          <w:tcPr>
            <w:tcW w:w="941" w:type="dxa"/>
            <w:shd w:val="clear" w:color="auto" w:fill="F1F1F1"/>
          </w:tcPr>
          <w:p w14:paraId="2EA871DF" w14:textId="77777777" w:rsidR="00777944" w:rsidRDefault="00632D37">
            <w:pPr>
              <w:pStyle w:val="TableParagraph"/>
            </w:pPr>
            <w:r>
              <w:rPr>
                <w:color w:val="252525"/>
              </w:rPr>
              <w:t>£20m</w:t>
            </w:r>
          </w:p>
        </w:tc>
        <w:tc>
          <w:tcPr>
            <w:tcW w:w="1956" w:type="dxa"/>
            <w:shd w:val="clear" w:color="auto" w:fill="F1F1F1"/>
          </w:tcPr>
          <w:p w14:paraId="0F25312F" w14:textId="77777777" w:rsidR="00777944" w:rsidRDefault="00632D37">
            <w:pPr>
              <w:pStyle w:val="TableParagraph"/>
            </w:pPr>
            <w:r>
              <w:rPr>
                <w:color w:val="252525"/>
              </w:rPr>
              <w:t>Up to 12 months</w:t>
            </w:r>
          </w:p>
        </w:tc>
      </w:tr>
    </w:tbl>
    <w:p w14:paraId="4B496AB5" w14:textId="77777777" w:rsidR="00777944" w:rsidRDefault="00777944">
      <w:pPr>
        <w:pStyle w:val="BodyText"/>
        <w:spacing w:before="11"/>
        <w:rPr>
          <w:sz w:val="21"/>
        </w:rPr>
      </w:pPr>
    </w:p>
    <w:p w14:paraId="5A8F8C73" w14:textId="77777777" w:rsidR="00777944" w:rsidRDefault="00632D37">
      <w:pPr>
        <w:pStyle w:val="BodyText"/>
        <w:ind w:left="100" w:right="300"/>
      </w:pPr>
      <w:r>
        <w:rPr>
          <w:color w:val="252525"/>
        </w:rPr>
        <w:t>The Director of Finance is responsible for monitoring the credit standing of approved counterparties. In times of significant generally heightened risk or market turbulence, the Director of Finance is authorised to introduce lower maximum limits and placement periods or withdraw all or part of the relevant funds without the prior approval of the Finance and Resources Committee or the Board of Governors. However, they must report this action and any other actions taken to mitigate the exposure of the University to these increased external risks to the next meeting of the Committee or Board. Protection of the capital sums invested is a higher priority for the University than the level of investment returns. A relaxation of any emergency restrictions will require the approval of the Finance and Resources Committee.</w:t>
      </w:r>
    </w:p>
    <w:p w14:paraId="500C0ACB" w14:textId="77777777" w:rsidR="00777944" w:rsidRDefault="00777944">
      <w:pPr>
        <w:pStyle w:val="BodyText"/>
        <w:spacing w:before="1"/>
      </w:pPr>
    </w:p>
    <w:p w14:paraId="299CC1D5" w14:textId="28E02104" w:rsidR="00EE173C" w:rsidRPr="00EE173C" w:rsidRDefault="00632D37" w:rsidP="00EE173C">
      <w:pPr>
        <w:pStyle w:val="BodyText"/>
        <w:ind w:left="100" w:right="950"/>
      </w:pPr>
      <w:r>
        <w:rPr>
          <w:color w:val="252525"/>
        </w:rPr>
        <w:t>Any other change to the Short-Term Investment Criteria will require the approval of the Finance and Resources Committee on behalf of the Board.</w:t>
      </w:r>
    </w:p>
    <w:p w14:paraId="01645B58" w14:textId="77777777" w:rsidR="00EE173C" w:rsidRPr="00EE173C" w:rsidRDefault="00EE173C" w:rsidP="00EE173C"/>
    <w:p w14:paraId="1A01D0DD" w14:textId="77777777" w:rsidR="00EE173C" w:rsidRPr="00EE173C" w:rsidRDefault="00EE173C" w:rsidP="00EE173C"/>
    <w:p w14:paraId="3C04AE2A" w14:textId="77777777" w:rsidR="00EE173C" w:rsidRPr="00EE173C" w:rsidRDefault="00EE173C" w:rsidP="00EE173C"/>
    <w:p w14:paraId="2E43E427" w14:textId="77777777" w:rsidR="00EE173C" w:rsidRPr="00EE173C" w:rsidRDefault="00EE173C" w:rsidP="00EE173C">
      <w:pPr>
        <w:jc w:val="right"/>
      </w:pPr>
    </w:p>
    <w:p w14:paraId="58556CAA" w14:textId="1A9A588D" w:rsidR="00777944" w:rsidRPr="00EE173C" w:rsidRDefault="00777944" w:rsidP="00EE173C"/>
    <w:sectPr w:rsidR="00777944" w:rsidRPr="00EE173C">
      <w:pgSz w:w="11910" w:h="16840"/>
      <w:pgMar w:top="1380" w:right="900" w:bottom="1360" w:left="980" w:header="0" w:footer="1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275E" w14:textId="77777777" w:rsidR="007C7D25" w:rsidRDefault="007C7D25">
      <w:r>
        <w:separator/>
      </w:r>
    </w:p>
  </w:endnote>
  <w:endnote w:type="continuationSeparator" w:id="0">
    <w:p w14:paraId="1F8573F0" w14:textId="77777777" w:rsidR="007C7D25" w:rsidRDefault="007C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4981344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AC255E3" w14:textId="7C7AE61C" w:rsidR="00FF2778" w:rsidRPr="00FF2778" w:rsidRDefault="00FF2778">
            <w:pPr>
              <w:pStyle w:val="Footer"/>
              <w:jc w:val="right"/>
              <w:rPr>
                <w:sz w:val="16"/>
                <w:szCs w:val="16"/>
              </w:rPr>
            </w:pPr>
            <w:r w:rsidRPr="00FF2778">
              <w:rPr>
                <w:noProof/>
              </w:rPr>
              <mc:AlternateContent>
                <mc:Choice Requires="wps">
                  <w:drawing>
                    <wp:anchor distT="0" distB="0" distL="114300" distR="114300" simplePos="0" relativeHeight="251659264" behindDoc="1" locked="0" layoutInCell="1" allowOverlap="1" wp14:anchorId="465CAC48" wp14:editId="598D80DE">
                      <wp:simplePos x="0" y="0"/>
                      <wp:positionH relativeFrom="page">
                        <wp:posOffset>526885</wp:posOffset>
                      </wp:positionH>
                      <wp:positionV relativeFrom="page">
                        <wp:posOffset>9828337</wp:posOffset>
                      </wp:positionV>
                      <wp:extent cx="2160270" cy="1949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505C" w14:textId="77777777" w:rsidR="00FF2778" w:rsidRDefault="00FF2778" w:rsidP="00FF2778">
                                  <w:pPr>
                                    <w:spacing w:line="142" w:lineRule="exact"/>
                                    <w:ind w:left="20"/>
                                    <w:rPr>
                                      <w:sz w:val="12"/>
                                    </w:rPr>
                                  </w:pPr>
                                  <w:r>
                                    <w:rPr>
                                      <w:sz w:val="12"/>
                                    </w:rPr>
                                    <w:t xml:space="preserve">University of Chichester - Treasury Management Policy – </w:t>
                                  </w:r>
                                </w:p>
                                <w:p w14:paraId="23DA9CC9" w14:textId="77777777" w:rsidR="00FF2778" w:rsidRDefault="00FF2778" w:rsidP="00FF2778">
                                  <w:pPr>
                                    <w:ind w:left="20"/>
                                    <w:rPr>
                                      <w:b/>
                                      <w:sz w:val="12"/>
                                    </w:rPr>
                                  </w:pPr>
                                  <w:r>
                                    <w:rPr>
                                      <w:b/>
                                      <w:sz w:val="12"/>
                                    </w:rPr>
                                    <w:t>CONTROLLED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CAC48" id="_x0000_t202" coordsize="21600,21600" o:spt="202" path="m,l,21600r21600,l21600,xe">
                      <v:stroke joinstyle="miter"/>
                      <v:path gradientshapeok="t" o:connecttype="rect"/>
                    </v:shapetype>
                    <v:shape id="Text Box 2" o:spid="_x0000_s1026" type="#_x0000_t202" style="position:absolute;left:0;text-align:left;margin-left:41.5pt;margin-top:773.9pt;width:170.1pt;height:1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apqw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" filled="f" stroked="f">
                      <v:textbox inset="0,0,0,0">
                        <w:txbxContent>
                          <w:p w14:paraId="3D9F505C" w14:textId="77777777" w:rsidR="00FF2778" w:rsidRDefault="00FF2778" w:rsidP="00FF2778">
                            <w:pPr>
                              <w:spacing w:line="142" w:lineRule="exact"/>
                              <w:ind w:left="20"/>
                              <w:rPr>
                                <w:sz w:val="12"/>
                              </w:rPr>
                            </w:pPr>
                            <w:r>
                              <w:rPr>
                                <w:sz w:val="12"/>
                              </w:rPr>
                              <w:t xml:space="preserve">University of Chichester - Treasury Management Policy – </w:t>
                            </w:r>
                          </w:p>
                          <w:p w14:paraId="23DA9CC9" w14:textId="77777777" w:rsidR="00FF2778" w:rsidRDefault="00FF2778" w:rsidP="00FF2778">
                            <w:pPr>
                              <w:ind w:left="20"/>
                              <w:rPr>
                                <w:b/>
                                <w:sz w:val="12"/>
                              </w:rPr>
                            </w:pPr>
                            <w:r>
                              <w:rPr>
                                <w:b/>
                                <w:sz w:val="12"/>
                              </w:rPr>
                              <w:t>CONTROLLED DOCUMENT</w:t>
                            </w:r>
                          </w:p>
                        </w:txbxContent>
                      </v:textbox>
                      <w10:wrap anchorx="page" anchory="page"/>
                    </v:shape>
                  </w:pict>
                </mc:Fallback>
              </mc:AlternateContent>
            </w:r>
            <w:r w:rsidRPr="00FF2778">
              <w:rPr>
                <w:sz w:val="16"/>
                <w:szCs w:val="16"/>
              </w:rPr>
              <w:t xml:space="preserve">Page </w:t>
            </w:r>
            <w:r w:rsidRPr="00FF2778">
              <w:rPr>
                <w:bCs/>
                <w:sz w:val="16"/>
                <w:szCs w:val="16"/>
              </w:rPr>
              <w:fldChar w:fldCharType="begin"/>
            </w:r>
            <w:r w:rsidRPr="00FF2778">
              <w:rPr>
                <w:bCs/>
                <w:sz w:val="16"/>
                <w:szCs w:val="16"/>
              </w:rPr>
              <w:instrText xml:space="preserve"> PAGE </w:instrText>
            </w:r>
            <w:r w:rsidRPr="00FF2778">
              <w:rPr>
                <w:bCs/>
                <w:sz w:val="16"/>
                <w:szCs w:val="16"/>
              </w:rPr>
              <w:fldChar w:fldCharType="separate"/>
            </w:r>
            <w:r w:rsidRPr="00FF2778">
              <w:rPr>
                <w:bCs/>
                <w:noProof/>
                <w:sz w:val="16"/>
                <w:szCs w:val="16"/>
              </w:rPr>
              <w:t>2</w:t>
            </w:r>
            <w:r w:rsidRPr="00FF2778">
              <w:rPr>
                <w:bCs/>
                <w:sz w:val="16"/>
                <w:szCs w:val="16"/>
              </w:rPr>
              <w:fldChar w:fldCharType="end"/>
            </w:r>
            <w:r w:rsidRPr="00FF2778">
              <w:rPr>
                <w:sz w:val="16"/>
                <w:szCs w:val="16"/>
              </w:rPr>
              <w:t xml:space="preserve"> of </w:t>
            </w:r>
            <w:r w:rsidRPr="00FF2778">
              <w:rPr>
                <w:bCs/>
                <w:sz w:val="16"/>
                <w:szCs w:val="16"/>
              </w:rPr>
              <w:fldChar w:fldCharType="begin"/>
            </w:r>
            <w:r w:rsidRPr="00FF2778">
              <w:rPr>
                <w:bCs/>
                <w:sz w:val="16"/>
                <w:szCs w:val="16"/>
              </w:rPr>
              <w:instrText xml:space="preserve"> NUMPAGES  </w:instrText>
            </w:r>
            <w:r w:rsidRPr="00FF2778">
              <w:rPr>
                <w:bCs/>
                <w:sz w:val="16"/>
                <w:szCs w:val="16"/>
              </w:rPr>
              <w:fldChar w:fldCharType="separate"/>
            </w:r>
            <w:r w:rsidRPr="00FF2778">
              <w:rPr>
                <w:bCs/>
                <w:noProof/>
                <w:sz w:val="16"/>
                <w:szCs w:val="16"/>
              </w:rPr>
              <w:t>2</w:t>
            </w:r>
            <w:r w:rsidRPr="00FF2778">
              <w:rPr>
                <w:bCs/>
                <w:sz w:val="16"/>
                <w:szCs w:val="16"/>
              </w:rPr>
              <w:fldChar w:fldCharType="end"/>
            </w:r>
          </w:p>
        </w:sdtContent>
      </w:sdt>
    </w:sdtContent>
  </w:sdt>
  <w:p w14:paraId="3B5741DB" w14:textId="5560C538" w:rsidR="0070354C" w:rsidRDefault="0070354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C04D" w14:textId="77777777" w:rsidR="007C7D25" w:rsidRDefault="007C7D25">
      <w:r>
        <w:separator/>
      </w:r>
    </w:p>
  </w:footnote>
  <w:footnote w:type="continuationSeparator" w:id="0">
    <w:p w14:paraId="5F3038E3" w14:textId="77777777" w:rsidR="007C7D25" w:rsidRDefault="007C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B6"/>
    <w:multiLevelType w:val="hybridMultilevel"/>
    <w:tmpl w:val="513CC002"/>
    <w:lvl w:ilvl="0" w:tplc="8A0A291E">
      <w:start w:val="1"/>
      <w:numFmt w:val="decimal"/>
      <w:lvlText w:val="5.%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 w15:restartNumberingAfterBreak="0">
    <w:nsid w:val="07E502D8"/>
    <w:multiLevelType w:val="hybridMultilevel"/>
    <w:tmpl w:val="E2AEEDFC"/>
    <w:lvl w:ilvl="0" w:tplc="C5944234">
      <w:start w:val="1"/>
      <w:numFmt w:val="decimal"/>
      <w:lvlText w:val="2.%1"/>
      <w:lvlJc w:val="left"/>
      <w:pPr>
        <w:ind w:left="459" w:hanging="360"/>
      </w:pPr>
      <w:rPr>
        <w:rFonts w:ascii="Calibri" w:eastAsia="Calibri" w:hAnsi="Calibri" w:cs="Calibri"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 w15:restartNumberingAfterBreak="0">
    <w:nsid w:val="082F25D4"/>
    <w:multiLevelType w:val="multilevel"/>
    <w:tmpl w:val="7EA4D43C"/>
    <w:lvl w:ilvl="0">
      <w:start w:val="2"/>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3" w15:restartNumberingAfterBreak="0">
    <w:nsid w:val="0ED653F4"/>
    <w:multiLevelType w:val="hybridMultilevel"/>
    <w:tmpl w:val="16DC6688"/>
    <w:lvl w:ilvl="0" w:tplc="382AEF34">
      <w:start w:val="1"/>
      <w:numFmt w:val="decimal"/>
      <w:lvlText w:val="8.%1"/>
      <w:lvlJc w:val="left"/>
      <w:pPr>
        <w:ind w:left="8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E18"/>
    <w:multiLevelType w:val="hybridMultilevel"/>
    <w:tmpl w:val="86E0B8AE"/>
    <w:lvl w:ilvl="0" w:tplc="57C0CE54">
      <w:start w:val="1"/>
      <w:numFmt w:val="decimal"/>
      <w:lvlText w:val="6.%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5" w15:restartNumberingAfterBreak="0">
    <w:nsid w:val="17C63A4A"/>
    <w:multiLevelType w:val="multilevel"/>
    <w:tmpl w:val="BD026FB0"/>
    <w:lvl w:ilvl="0">
      <w:start w:val="13"/>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6" w15:restartNumberingAfterBreak="0">
    <w:nsid w:val="2AD85C06"/>
    <w:multiLevelType w:val="hybridMultilevel"/>
    <w:tmpl w:val="1A0458A8"/>
    <w:lvl w:ilvl="0" w:tplc="0CEE7494">
      <w:start w:val="1"/>
      <w:numFmt w:val="decimal"/>
      <w:lvlText w:val="1.%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7" w15:restartNumberingAfterBreak="0">
    <w:nsid w:val="33C42CE5"/>
    <w:multiLevelType w:val="multilevel"/>
    <w:tmpl w:val="D6AE4FD0"/>
    <w:lvl w:ilvl="0">
      <w:start w:val="9"/>
      <w:numFmt w:val="decimal"/>
      <w:lvlText w:val="%1"/>
      <w:lvlJc w:val="left"/>
      <w:pPr>
        <w:ind w:left="808" w:hanging="709"/>
      </w:pPr>
      <w:rPr>
        <w:rFonts w:hint="default"/>
      </w:rPr>
    </w:lvl>
    <w:lvl w:ilvl="1">
      <w:start w:val="4"/>
      <w:numFmt w:val="decimal"/>
      <w:lvlText w:val="6.%2"/>
      <w:lvlJc w:val="left"/>
      <w:pPr>
        <w:ind w:left="808" w:hanging="709"/>
      </w:pPr>
      <w:rPr>
        <w:rFonts w:hint="default"/>
        <w:color w:val="252525"/>
        <w:spacing w:val="-1"/>
        <w:w w:val="100"/>
        <w:sz w:val="22"/>
        <w:szCs w:val="22"/>
      </w:rPr>
    </w:lvl>
    <w:lvl w:ilvl="2">
      <w:start w:val="1"/>
      <w:numFmt w:val="decimal"/>
      <w:lvlText w:val="6.4.%3"/>
      <w:lvlJc w:val="left"/>
      <w:pPr>
        <w:ind w:left="1518" w:hanging="711"/>
      </w:pPr>
      <w:rPr>
        <w:rFonts w:hint="default"/>
        <w:spacing w:val="-1"/>
        <w:w w:val="100"/>
        <w:sz w:val="22"/>
        <w:szCs w:val="22"/>
      </w:rPr>
    </w:lvl>
    <w:lvl w:ilvl="3">
      <w:numFmt w:val="bullet"/>
      <w:lvlText w:val=""/>
      <w:lvlJc w:val="left"/>
      <w:pPr>
        <w:ind w:left="1802" w:hanging="284"/>
      </w:pPr>
      <w:rPr>
        <w:rFonts w:ascii="Symbol" w:eastAsia="Symbol" w:hAnsi="Symbol" w:cs="Symbol" w:hint="default"/>
        <w:w w:val="100"/>
        <w:sz w:val="22"/>
        <w:szCs w:val="22"/>
      </w:rPr>
    </w:lvl>
    <w:lvl w:ilvl="4">
      <w:numFmt w:val="bullet"/>
      <w:lvlText w:val="•"/>
      <w:lvlJc w:val="left"/>
      <w:pPr>
        <w:ind w:left="2975" w:hanging="284"/>
      </w:pPr>
      <w:rPr>
        <w:rFonts w:hint="default"/>
      </w:rPr>
    </w:lvl>
    <w:lvl w:ilvl="5">
      <w:numFmt w:val="bullet"/>
      <w:lvlText w:val="•"/>
      <w:lvlJc w:val="left"/>
      <w:pPr>
        <w:ind w:left="4150" w:hanging="284"/>
      </w:pPr>
      <w:rPr>
        <w:rFonts w:hint="default"/>
      </w:rPr>
    </w:lvl>
    <w:lvl w:ilvl="6">
      <w:numFmt w:val="bullet"/>
      <w:lvlText w:val="•"/>
      <w:lvlJc w:val="left"/>
      <w:pPr>
        <w:ind w:left="5325" w:hanging="284"/>
      </w:pPr>
      <w:rPr>
        <w:rFonts w:hint="default"/>
      </w:rPr>
    </w:lvl>
    <w:lvl w:ilvl="7">
      <w:numFmt w:val="bullet"/>
      <w:lvlText w:val="•"/>
      <w:lvlJc w:val="left"/>
      <w:pPr>
        <w:ind w:left="6500" w:hanging="284"/>
      </w:pPr>
      <w:rPr>
        <w:rFonts w:hint="default"/>
      </w:rPr>
    </w:lvl>
    <w:lvl w:ilvl="8">
      <w:numFmt w:val="bullet"/>
      <w:lvlText w:val="•"/>
      <w:lvlJc w:val="left"/>
      <w:pPr>
        <w:ind w:left="7676" w:hanging="284"/>
      </w:pPr>
      <w:rPr>
        <w:rFonts w:hint="default"/>
      </w:rPr>
    </w:lvl>
  </w:abstractNum>
  <w:abstractNum w:abstractNumId="8" w15:restartNumberingAfterBreak="0">
    <w:nsid w:val="39925C4F"/>
    <w:multiLevelType w:val="hybridMultilevel"/>
    <w:tmpl w:val="A8984A44"/>
    <w:lvl w:ilvl="0" w:tplc="0C6A9222">
      <w:start w:val="1"/>
      <w:numFmt w:val="decimal"/>
      <w:lvlText w:val="9.%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9" w15:restartNumberingAfterBreak="0">
    <w:nsid w:val="3F31083C"/>
    <w:multiLevelType w:val="multilevel"/>
    <w:tmpl w:val="458A0B82"/>
    <w:lvl w:ilvl="0">
      <w:start w:val="7"/>
      <w:numFmt w:val="decimal"/>
      <w:lvlText w:val="%1"/>
      <w:lvlJc w:val="left"/>
      <w:pPr>
        <w:ind w:left="808" w:hanging="709"/>
      </w:pPr>
      <w:rPr>
        <w:rFonts w:hint="default"/>
        <w:lang w:val="en-GB" w:eastAsia="en-US" w:bidi="ar-SA"/>
      </w:rPr>
    </w:lvl>
    <w:lvl w:ilvl="1">
      <w:start w:val="1"/>
      <w:numFmt w:val="decimal"/>
      <w:lvlText w:val="5.%2"/>
      <w:lvlJc w:val="left"/>
      <w:pPr>
        <w:ind w:left="808" w:hanging="709"/>
      </w:pPr>
      <w:rPr>
        <w:rFonts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10" w15:restartNumberingAfterBreak="0">
    <w:nsid w:val="435E3FA6"/>
    <w:multiLevelType w:val="hybridMultilevel"/>
    <w:tmpl w:val="F244BC0E"/>
    <w:lvl w:ilvl="0" w:tplc="10E8E1C8">
      <w:start w:val="1"/>
      <w:numFmt w:val="decimal"/>
      <w:lvlText w:val="4.%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1" w15:restartNumberingAfterBreak="0">
    <w:nsid w:val="45E649CC"/>
    <w:multiLevelType w:val="hybridMultilevel"/>
    <w:tmpl w:val="B04E3D94"/>
    <w:lvl w:ilvl="0" w:tplc="382AEF34">
      <w:start w:val="1"/>
      <w:numFmt w:val="decimal"/>
      <w:lvlText w:val="8.%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2" w15:restartNumberingAfterBreak="0">
    <w:nsid w:val="461A049B"/>
    <w:multiLevelType w:val="hybridMultilevel"/>
    <w:tmpl w:val="ED0801EE"/>
    <w:lvl w:ilvl="0" w:tplc="D3E8EFD4">
      <w:start w:val="1"/>
      <w:numFmt w:val="decimal"/>
      <w:lvlText w:val="3.%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3" w15:restartNumberingAfterBreak="0">
    <w:nsid w:val="471E0EB9"/>
    <w:multiLevelType w:val="multilevel"/>
    <w:tmpl w:val="40A69C8C"/>
    <w:lvl w:ilvl="0">
      <w:start w:val="9"/>
      <w:numFmt w:val="decimal"/>
      <w:lvlText w:val="%1"/>
      <w:lvlJc w:val="left"/>
      <w:pPr>
        <w:ind w:left="808" w:hanging="709"/>
      </w:pPr>
      <w:rPr>
        <w:rFonts w:hint="default"/>
        <w:lang w:val="en-GB" w:eastAsia="en-US" w:bidi="ar-SA"/>
      </w:rPr>
    </w:lvl>
    <w:lvl w:ilvl="1">
      <w:start w:val="1"/>
      <w:numFmt w:val="decimal"/>
      <w:lvlText w:val="6.%2"/>
      <w:lvlJc w:val="left"/>
      <w:pPr>
        <w:ind w:left="808" w:hanging="709"/>
      </w:pPr>
      <w:rPr>
        <w:rFonts w:hint="default"/>
        <w:color w:val="252525"/>
        <w:spacing w:val="-1"/>
        <w:w w:val="100"/>
        <w:sz w:val="22"/>
        <w:szCs w:val="22"/>
        <w:lang w:val="en-GB" w:eastAsia="en-US" w:bidi="ar-SA"/>
      </w:rPr>
    </w:lvl>
    <w:lvl w:ilvl="2">
      <w:start w:val="9"/>
      <w:numFmt w:val="decimal"/>
      <w:lvlText w:val="6.4.%3"/>
      <w:lvlJc w:val="left"/>
      <w:pPr>
        <w:ind w:left="1518" w:hanging="711"/>
      </w:pPr>
      <w:rPr>
        <w:rFonts w:hint="default"/>
        <w:spacing w:val="-1"/>
        <w:w w:val="100"/>
        <w:sz w:val="22"/>
        <w:szCs w:val="22"/>
        <w:lang w:val="en-GB" w:eastAsia="en-US" w:bidi="ar-SA"/>
      </w:rPr>
    </w:lvl>
    <w:lvl w:ilvl="3">
      <w:numFmt w:val="bullet"/>
      <w:lvlText w:val=""/>
      <w:lvlJc w:val="left"/>
      <w:pPr>
        <w:ind w:left="1802" w:hanging="284"/>
      </w:pPr>
      <w:rPr>
        <w:rFonts w:ascii="Symbol" w:eastAsia="Symbol" w:hAnsi="Symbol" w:cs="Symbol" w:hint="default"/>
        <w:w w:val="100"/>
        <w:sz w:val="22"/>
        <w:szCs w:val="22"/>
        <w:lang w:val="en-GB" w:eastAsia="en-US" w:bidi="ar-SA"/>
      </w:rPr>
    </w:lvl>
    <w:lvl w:ilvl="4">
      <w:numFmt w:val="bullet"/>
      <w:lvlText w:val="•"/>
      <w:lvlJc w:val="left"/>
      <w:pPr>
        <w:ind w:left="2975" w:hanging="284"/>
      </w:pPr>
      <w:rPr>
        <w:rFonts w:hint="default"/>
        <w:lang w:val="en-GB" w:eastAsia="en-US" w:bidi="ar-SA"/>
      </w:rPr>
    </w:lvl>
    <w:lvl w:ilvl="5">
      <w:numFmt w:val="bullet"/>
      <w:lvlText w:val="•"/>
      <w:lvlJc w:val="left"/>
      <w:pPr>
        <w:ind w:left="4150" w:hanging="284"/>
      </w:pPr>
      <w:rPr>
        <w:rFonts w:hint="default"/>
        <w:lang w:val="en-GB" w:eastAsia="en-US" w:bidi="ar-SA"/>
      </w:rPr>
    </w:lvl>
    <w:lvl w:ilvl="6">
      <w:numFmt w:val="bullet"/>
      <w:lvlText w:val="•"/>
      <w:lvlJc w:val="left"/>
      <w:pPr>
        <w:ind w:left="5325" w:hanging="284"/>
      </w:pPr>
      <w:rPr>
        <w:rFonts w:hint="default"/>
        <w:lang w:val="en-GB" w:eastAsia="en-US" w:bidi="ar-SA"/>
      </w:rPr>
    </w:lvl>
    <w:lvl w:ilvl="7">
      <w:numFmt w:val="bullet"/>
      <w:lvlText w:val="•"/>
      <w:lvlJc w:val="left"/>
      <w:pPr>
        <w:ind w:left="6500" w:hanging="284"/>
      </w:pPr>
      <w:rPr>
        <w:rFonts w:hint="default"/>
        <w:lang w:val="en-GB" w:eastAsia="en-US" w:bidi="ar-SA"/>
      </w:rPr>
    </w:lvl>
    <w:lvl w:ilvl="8">
      <w:numFmt w:val="bullet"/>
      <w:lvlText w:val="•"/>
      <w:lvlJc w:val="left"/>
      <w:pPr>
        <w:ind w:left="7676" w:hanging="284"/>
      </w:pPr>
      <w:rPr>
        <w:rFonts w:hint="default"/>
        <w:lang w:val="en-GB" w:eastAsia="en-US" w:bidi="ar-SA"/>
      </w:rPr>
    </w:lvl>
  </w:abstractNum>
  <w:abstractNum w:abstractNumId="14" w15:restartNumberingAfterBreak="0">
    <w:nsid w:val="4AE62279"/>
    <w:multiLevelType w:val="multilevel"/>
    <w:tmpl w:val="38184DD6"/>
    <w:lvl w:ilvl="0">
      <w:start w:val="10"/>
      <w:numFmt w:val="decimal"/>
      <w:lvlText w:val="%1"/>
      <w:lvlJc w:val="left"/>
      <w:pPr>
        <w:ind w:left="808" w:hanging="709"/>
      </w:pPr>
      <w:rPr>
        <w:rFonts w:hint="default"/>
        <w:lang w:val="en-GB" w:eastAsia="en-US" w:bidi="ar-SA"/>
      </w:rPr>
    </w:lvl>
    <w:lvl w:ilvl="1">
      <w:start w:val="1"/>
      <w:numFmt w:val="decimal"/>
      <w:lvlText w:val="7.%2"/>
      <w:lvlJc w:val="left"/>
      <w:pPr>
        <w:ind w:left="808" w:hanging="709"/>
      </w:pPr>
      <w:rPr>
        <w:rFonts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15" w15:restartNumberingAfterBreak="0">
    <w:nsid w:val="4F80337A"/>
    <w:multiLevelType w:val="multilevel"/>
    <w:tmpl w:val="09AEBBEA"/>
    <w:lvl w:ilvl="0">
      <w:start w:val="1"/>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16" w15:restartNumberingAfterBreak="0">
    <w:nsid w:val="5C020094"/>
    <w:multiLevelType w:val="hybridMultilevel"/>
    <w:tmpl w:val="7F905536"/>
    <w:lvl w:ilvl="0" w:tplc="6D32730E">
      <w:start w:val="1"/>
      <w:numFmt w:val="decimal"/>
      <w:lvlText w:val="10.%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7" w15:restartNumberingAfterBreak="0">
    <w:nsid w:val="5CCC422D"/>
    <w:multiLevelType w:val="hybridMultilevel"/>
    <w:tmpl w:val="9542AD88"/>
    <w:lvl w:ilvl="0" w:tplc="7F72BCF8">
      <w:start w:val="1"/>
      <w:numFmt w:val="decimal"/>
      <w:lvlText w:val="1.%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8" w15:restartNumberingAfterBreak="0">
    <w:nsid w:val="6A5C0A2C"/>
    <w:multiLevelType w:val="multilevel"/>
    <w:tmpl w:val="70EEB936"/>
    <w:lvl w:ilvl="0">
      <w:start w:val="5"/>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19" w15:restartNumberingAfterBreak="0">
    <w:nsid w:val="6B22370D"/>
    <w:multiLevelType w:val="hybridMultilevel"/>
    <w:tmpl w:val="EC287D5A"/>
    <w:lvl w:ilvl="0" w:tplc="0809000F">
      <w:start w:val="1"/>
      <w:numFmt w:val="decimal"/>
      <w:lvlText w:val="%1."/>
      <w:lvlJc w:val="left"/>
      <w:pPr>
        <w:ind w:left="459" w:hanging="360"/>
      </w:pPr>
    </w:lvl>
    <w:lvl w:ilvl="1" w:tplc="08090019">
      <w:start w:val="1"/>
      <w:numFmt w:val="lowerLetter"/>
      <w:lvlText w:val="%2."/>
      <w:lvlJc w:val="left"/>
      <w:pPr>
        <w:ind w:left="1179" w:hanging="360"/>
      </w:pPr>
    </w:lvl>
    <w:lvl w:ilvl="2" w:tplc="0809001B">
      <w:start w:val="1"/>
      <w:numFmt w:val="lowerRoman"/>
      <w:lvlText w:val="%3."/>
      <w:lvlJc w:val="right"/>
      <w:pPr>
        <w:ind w:left="1899" w:hanging="180"/>
      </w:pPr>
    </w:lvl>
    <w:lvl w:ilvl="3" w:tplc="0809000F">
      <w:start w:val="1"/>
      <w:numFmt w:val="decimal"/>
      <w:lvlText w:val="%4."/>
      <w:lvlJc w:val="left"/>
      <w:pPr>
        <w:ind w:left="2619" w:hanging="360"/>
      </w:pPr>
    </w:lvl>
    <w:lvl w:ilvl="4" w:tplc="08090019">
      <w:start w:val="1"/>
      <w:numFmt w:val="lowerLetter"/>
      <w:lvlText w:val="%5."/>
      <w:lvlJc w:val="left"/>
      <w:pPr>
        <w:ind w:left="3339" w:hanging="360"/>
      </w:pPr>
    </w:lvl>
    <w:lvl w:ilvl="5" w:tplc="0809001B">
      <w:start w:val="1"/>
      <w:numFmt w:val="lowerRoman"/>
      <w:lvlText w:val="%6."/>
      <w:lvlJc w:val="right"/>
      <w:pPr>
        <w:ind w:left="4059" w:hanging="180"/>
      </w:pPr>
    </w:lvl>
    <w:lvl w:ilvl="6" w:tplc="0809000F">
      <w:start w:val="1"/>
      <w:numFmt w:val="decimal"/>
      <w:lvlText w:val="%7."/>
      <w:lvlJc w:val="left"/>
      <w:pPr>
        <w:ind w:left="4779" w:hanging="360"/>
      </w:pPr>
    </w:lvl>
    <w:lvl w:ilvl="7" w:tplc="08090019">
      <w:start w:val="1"/>
      <w:numFmt w:val="lowerLetter"/>
      <w:lvlText w:val="%8."/>
      <w:lvlJc w:val="left"/>
      <w:pPr>
        <w:ind w:left="5499" w:hanging="360"/>
      </w:pPr>
    </w:lvl>
    <w:lvl w:ilvl="8" w:tplc="0809001B">
      <w:start w:val="1"/>
      <w:numFmt w:val="lowerRoman"/>
      <w:lvlText w:val="%9."/>
      <w:lvlJc w:val="right"/>
      <w:pPr>
        <w:ind w:left="6219" w:hanging="180"/>
      </w:pPr>
    </w:lvl>
  </w:abstractNum>
  <w:abstractNum w:abstractNumId="20" w15:restartNumberingAfterBreak="0">
    <w:nsid w:val="6E2A2398"/>
    <w:multiLevelType w:val="multilevel"/>
    <w:tmpl w:val="039279C0"/>
    <w:lvl w:ilvl="0">
      <w:start w:val="4"/>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21" w15:restartNumberingAfterBreak="0">
    <w:nsid w:val="72A87A4B"/>
    <w:multiLevelType w:val="multilevel"/>
    <w:tmpl w:val="2FDA1210"/>
    <w:lvl w:ilvl="0">
      <w:start w:val="6"/>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2645" w:hanging="709"/>
      </w:pPr>
      <w:rPr>
        <w:rFonts w:hint="default"/>
        <w:lang w:val="en-GB" w:eastAsia="en-US" w:bidi="ar-SA"/>
      </w:rPr>
    </w:lvl>
    <w:lvl w:ilvl="3">
      <w:numFmt w:val="bullet"/>
      <w:lvlText w:val="•"/>
      <w:lvlJc w:val="left"/>
      <w:pPr>
        <w:ind w:left="3567" w:hanging="709"/>
      </w:pPr>
      <w:rPr>
        <w:rFonts w:hint="default"/>
        <w:lang w:val="en-GB" w:eastAsia="en-US" w:bidi="ar-SA"/>
      </w:rPr>
    </w:lvl>
    <w:lvl w:ilvl="4">
      <w:numFmt w:val="bullet"/>
      <w:lvlText w:val="•"/>
      <w:lvlJc w:val="left"/>
      <w:pPr>
        <w:ind w:left="4490" w:hanging="709"/>
      </w:pPr>
      <w:rPr>
        <w:rFonts w:hint="default"/>
        <w:lang w:val="en-GB" w:eastAsia="en-US" w:bidi="ar-SA"/>
      </w:rPr>
    </w:lvl>
    <w:lvl w:ilvl="5">
      <w:numFmt w:val="bullet"/>
      <w:lvlText w:val="•"/>
      <w:lvlJc w:val="left"/>
      <w:pPr>
        <w:ind w:left="5413" w:hanging="709"/>
      </w:pPr>
      <w:rPr>
        <w:rFonts w:hint="default"/>
        <w:lang w:val="en-GB" w:eastAsia="en-US" w:bidi="ar-SA"/>
      </w:rPr>
    </w:lvl>
    <w:lvl w:ilvl="6">
      <w:numFmt w:val="bullet"/>
      <w:lvlText w:val="•"/>
      <w:lvlJc w:val="left"/>
      <w:pPr>
        <w:ind w:left="6335" w:hanging="709"/>
      </w:pPr>
      <w:rPr>
        <w:rFonts w:hint="default"/>
        <w:lang w:val="en-GB" w:eastAsia="en-US" w:bidi="ar-SA"/>
      </w:rPr>
    </w:lvl>
    <w:lvl w:ilvl="7">
      <w:numFmt w:val="bullet"/>
      <w:lvlText w:val="•"/>
      <w:lvlJc w:val="left"/>
      <w:pPr>
        <w:ind w:left="7258" w:hanging="709"/>
      </w:pPr>
      <w:rPr>
        <w:rFonts w:hint="default"/>
        <w:lang w:val="en-GB" w:eastAsia="en-US" w:bidi="ar-SA"/>
      </w:rPr>
    </w:lvl>
    <w:lvl w:ilvl="8">
      <w:numFmt w:val="bullet"/>
      <w:lvlText w:val="•"/>
      <w:lvlJc w:val="left"/>
      <w:pPr>
        <w:ind w:left="8181" w:hanging="709"/>
      </w:pPr>
      <w:rPr>
        <w:rFonts w:hint="default"/>
        <w:lang w:val="en-GB" w:eastAsia="en-US" w:bidi="ar-SA"/>
      </w:rPr>
    </w:lvl>
  </w:abstractNum>
  <w:abstractNum w:abstractNumId="22" w15:restartNumberingAfterBreak="0">
    <w:nsid w:val="7609056F"/>
    <w:multiLevelType w:val="hybridMultilevel"/>
    <w:tmpl w:val="DF94CB12"/>
    <w:lvl w:ilvl="0" w:tplc="7FB4C1DE">
      <w:start w:val="1"/>
      <w:numFmt w:val="decimal"/>
      <w:lvlText w:val="7.%1"/>
      <w:lvlJc w:val="left"/>
      <w:pPr>
        <w:ind w:left="459" w:hanging="360"/>
      </w:pPr>
      <w:rPr>
        <w:rFonts w:hint="default"/>
        <w:b w:val="0"/>
        <w:bCs w:val="0"/>
        <w:i w:val="0"/>
        <w:iCs w:val="0"/>
        <w:w w:val="100"/>
        <w:sz w:val="22"/>
        <w:szCs w:val="22"/>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3" w15:restartNumberingAfterBreak="0">
    <w:nsid w:val="7A1B2022"/>
    <w:multiLevelType w:val="multilevel"/>
    <w:tmpl w:val="2E1C7570"/>
    <w:lvl w:ilvl="0">
      <w:start w:val="3"/>
      <w:numFmt w:val="decimal"/>
      <w:lvlText w:val="%1"/>
      <w:lvlJc w:val="left"/>
      <w:pPr>
        <w:ind w:left="808" w:hanging="709"/>
      </w:pPr>
      <w:rPr>
        <w:rFonts w:hint="default"/>
        <w:lang w:val="en-GB" w:eastAsia="en-US" w:bidi="ar-SA"/>
      </w:rPr>
    </w:lvl>
    <w:lvl w:ilvl="1">
      <w:start w:val="1"/>
      <w:numFmt w:val="decimal"/>
      <w:lvlText w:val="%1.%2"/>
      <w:lvlJc w:val="left"/>
      <w:pPr>
        <w:ind w:left="80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1518" w:hanging="711"/>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410" w:hanging="711"/>
      </w:pPr>
      <w:rPr>
        <w:rFonts w:hint="default"/>
        <w:lang w:val="en-GB" w:eastAsia="en-US" w:bidi="ar-SA"/>
      </w:rPr>
    </w:lvl>
    <w:lvl w:ilvl="4">
      <w:numFmt w:val="bullet"/>
      <w:lvlText w:val="•"/>
      <w:lvlJc w:val="left"/>
      <w:pPr>
        <w:ind w:left="4355" w:hanging="711"/>
      </w:pPr>
      <w:rPr>
        <w:rFonts w:hint="default"/>
        <w:lang w:val="en-GB" w:eastAsia="en-US" w:bidi="ar-SA"/>
      </w:rPr>
    </w:lvl>
    <w:lvl w:ilvl="5">
      <w:numFmt w:val="bullet"/>
      <w:lvlText w:val="•"/>
      <w:lvlJc w:val="left"/>
      <w:pPr>
        <w:ind w:left="5300" w:hanging="711"/>
      </w:pPr>
      <w:rPr>
        <w:rFonts w:hint="default"/>
        <w:lang w:val="en-GB" w:eastAsia="en-US" w:bidi="ar-SA"/>
      </w:rPr>
    </w:lvl>
    <w:lvl w:ilvl="6">
      <w:numFmt w:val="bullet"/>
      <w:lvlText w:val="•"/>
      <w:lvlJc w:val="left"/>
      <w:pPr>
        <w:ind w:left="6245" w:hanging="711"/>
      </w:pPr>
      <w:rPr>
        <w:rFonts w:hint="default"/>
        <w:lang w:val="en-GB" w:eastAsia="en-US" w:bidi="ar-SA"/>
      </w:rPr>
    </w:lvl>
    <w:lvl w:ilvl="7">
      <w:numFmt w:val="bullet"/>
      <w:lvlText w:val="•"/>
      <w:lvlJc w:val="left"/>
      <w:pPr>
        <w:ind w:left="7190" w:hanging="711"/>
      </w:pPr>
      <w:rPr>
        <w:rFonts w:hint="default"/>
        <w:lang w:val="en-GB" w:eastAsia="en-US" w:bidi="ar-SA"/>
      </w:rPr>
    </w:lvl>
    <w:lvl w:ilvl="8">
      <w:numFmt w:val="bullet"/>
      <w:lvlText w:val="•"/>
      <w:lvlJc w:val="left"/>
      <w:pPr>
        <w:ind w:left="8136" w:hanging="711"/>
      </w:pPr>
      <w:rPr>
        <w:rFonts w:hint="default"/>
        <w:lang w:val="en-GB" w:eastAsia="en-US" w:bidi="ar-SA"/>
      </w:rPr>
    </w:lvl>
  </w:abstractNum>
  <w:abstractNum w:abstractNumId="24" w15:restartNumberingAfterBreak="0">
    <w:nsid w:val="7D712B4F"/>
    <w:multiLevelType w:val="hybridMultilevel"/>
    <w:tmpl w:val="2870CA04"/>
    <w:lvl w:ilvl="0" w:tplc="66566132">
      <w:start w:val="6"/>
      <w:numFmt w:val="decimal"/>
      <w:lvlText w:val="%1."/>
      <w:lvlJc w:val="left"/>
      <w:pPr>
        <w:ind w:left="1528" w:hanging="36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25" w15:restartNumberingAfterBreak="0">
    <w:nsid w:val="7E6F2C0E"/>
    <w:multiLevelType w:val="hybridMultilevel"/>
    <w:tmpl w:val="F064D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9"/>
  </w:num>
  <w:num w:numId="5">
    <w:abstractNumId w:val="21"/>
  </w:num>
  <w:num w:numId="6">
    <w:abstractNumId w:val="18"/>
  </w:num>
  <w:num w:numId="7">
    <w:abstractNumId w:val="20"/>
  </w:num>
  <w:num w:numId="8">
    <w:abstractNumId w:val="23"/>
  </w:num>
  <w:num w:numId="9">
    <w:abstractNumId w:val="2"/>
  </w:num>
  <w:num w:numId="10">
    <w:abstractNumId w:val="15"/>
  </w:num>
  <w:num w:numId="11">
    <w:abstractNumId w:val="25"/>
  </w:num>
  <w:num w:numId="12">
    <w:abstractNumId w:val="7"/>
  </w:num>
  <w:num w:numId="13">
    <w:abstractNumId w:val="24"/>
  </w:num>
  <w:num w:numId="14">
    <w:abstractNumId w:val="19"/>
  </w:num>
  <w:num w:numId="15">
    <w:abstractNumId w:val="1"/>
  </w:num>
  <w:num w:numId="16">
    <w:abstractNumId w:val="17"/>
  </w:num>
  <w:num w:numId="17">
    <w:abstractNumId w:val="6"/>
  </w:num>
  <w:num w:numId="18">
    <w:abstractNumId w:val="12"/>
  </w:num>
  <w:num w:numId="19">
    <w:abstractNumId w:val="10"/>
  </w:num>
  <w:num w:numId="20">
    <w:abstractNumId w:val="0"/>
  </w:num>
  <w:num w:numId="21">
    <w:abstractNumId w:val="4"/>
  </w:num>
  <w:num w:numId="22">
    <w:abstractNumId w:val="22"/>
  </w:num>
  <w:num w:numId="23">
    <w:abstractNumId w:val="3"/>
  </w:num>
  <w:num w:numId="24">
    <w:abstractNumId w:val="11"/>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44"/>
    <w:rsid w:val="00006001"/>
    <w:rsid w:val="00012AE5"/>
    <w:rsid w:val="00064BAD"/>
    <w:rsid w:val="000F4185"/>
    <w:rsid w:val="00196011"/>
    <w:rsid w:val="002B17F3"/>
    <w:rsid w:val="002B3D0E"/>
    <w:rsid w:val="002F4EFA"/>
    <w:rsid w:val="002F5C83"/>
    <w:rsid w:val="00314CA0"/>
    <w:rsid w:val="003E464A"/>
    <w:rsid w:val="00404403"/>
    <w:rsid w:val="00470BA5"/>
    <w:rsid w:val="004E445A"/>
    <w:rsid w:val="004F051B"/>
    <w:rsid w:val="00526789"/>
    <w:rsid w:val="00571E97"/>
    <w:rsid w:val="00574F9B"/>
    <w:rsid w:val="00613612"/>
    <w:rsid w:val="00626262"/>
    <w:rsid w:val="00632D37"/>
    <w:rsid w:val="00652087"/>
    <w:rsid w:val="006572B9"/>
    <w:rsid w:val="006D2892"/>
    <w:rsid w:val="0070354C"/>
    <w:rsid w:val="00777944"/>
    <w:rsid w:val="00791453"/>
    <w:rsid w:val="00796CA0"/>
    <w:rsid w:val="007C7D25"/>
    <w:rsid w:val="007D6746"/>
    <w:rsid w:val="00814AC4"/>
    <w:rsid w:val="008223C9"/>
    <w:rsid w:val="008A5510"/>
    <w:rsid w:val="008A69C3"/>
    <w:rsid w:val="008C149B"/>
    <w:rsid w:val="008D21CF"/>
    <w:rsid w:val="008D2D4D"/>
    <w:rsid w:val="008F1E18"/>
    <w:rsid w:val="0091003B"/>
    <w:rsid w:val="00992583"/>
    <w:rsid w:val="009942D4"/>
    <w:rsid w:val="009F5FA3"/>
    <w:rsid w:val="00AE5708"/>
    <w:rsid w:val="00C1109D"/>
    <w:rsid w:val="00C32A06"/>
    <w:rsid w:val="00C90624"/>
    <w:rsid w:val="00C911B4"/>
    <w:rsid w:val="00C917C6"/>
    <w:rsid w:val="00C92B58"/>
    <w:rsid w:val="00CB62D6"/>
    <w:rsid w:val="00CE7B8D"/>
    <w:rsid w:val="00D04190"/>
    <w:rsid w:val="00D717CB"/>
    <w:rsid w:val="00D81D95"/>
    <w:rsid w:val="00DB2B71"/>
    <w:rsid w:val="00EC008D"/>
    <w:rsid w:val="00EE173C"/>
    <w:rsid w:val="00F0014F"/>
    <w:rsid w:val="00F00C7B"/>
    <w:rsid w:val="00F22899"/>
    <w:rsid w:val="00F62DCF"/>
    <w:rsid w:val="00FB126E"/>
    <w:rsid w:val="00FF1709"/>
    <w:rsid w:val="00FF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C541D"/>
  <w15:docId w15:val="{5448954C-7E19-447A-A212-1CA08E3F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51"/>
      <w:ind w:left="8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073"/>
    </w:pPr>
    <w:rPr>
      <w:b/>
      <w:bCs/>
      <w:sz w:val="48"/>
      <w:szCs w:val="48"/>
    </w:rPr>
  </w:style>
  <w:style w:type="paragraph" w:styleId="ListParagraph">
    <w:name w:val="List Paragraph"/>
    <w:basedOn w:val="Normal"/>
    <w:uiPriority w:val="1"/>
    <w:qFormat/>
    <w:pPr>
      <w:spacing w:before="121"/>
      <w:ind w:left="1802" w:hanging="284"/>
      <w:jc w:val="both"/>
    </w:pPr>
  </w:style>
  <w:style w:type="paragraph" w:customStyle="1" w:styleId="TableParagraph">
    <w:name w:val="Table Paragraph"/>
    <w:basedOn w:val="Normal"/>
    <w:uiPriority w:val="1"/>
    <w:qFormat/>
    <w:pPr>
      <w:spacing w:line="248" w:lineRule="exact"/>
      <w:ind w:left="106"/>
    </w:pPr>
  </w:style>
  <w:style w:type="paragraph" w:styleId="Header">
    <w:name w:val="header"/>
    <w:basedOn w:val="Normal"/>
    <w:link w:val="HeaderChar"/>
    <w:uiPriority w:val="99"/>
    <w:unhideWhenUsed/>
    <w:rsid w:val="00814AC4"/>
    <w:pPr>
      <w:tabs>
        <w:tab w:val="center" w:pos="4513"/>
        <w:tab w:val="right" w:pos="9026"/>
      </w:tabs>
    </w:pPr>
  </w:style>
  <w:style w:type="character" w:customStyle="1" w:styleId="HeaderChar">
    <w:name w:val="Header Char"/>
    <w:basedOn w:val="DefaultParagraphFont"/>
    <w:link w:val="Header"/>
    <w:uiPriority w:val="99"/>
    <w:rsid w:val="00814AC4"/>
    <w:rPr>
      <w:rFonts w:ascii="Calibri" w:eastAsia="Calibri" w:hAnsi="Calibri" w:cs="Calibri"/>
      <w:lang w:val="en-GB"/>
    </w:rPr>
  </w:style>
  <w:style w:type="paragraph" w:styleId="Footer">
    <w:name w:val="footer"/>
    <w:basedOn w:val="Normal"/>
    <w:link w:val="FooterChar"/>
    <w:uiPriority w:val="99"/>
    <w:unhideWhenUsed/>
    <w:rsid w:val="00814AC4"/>
    <w:pPr>
      <w:tabs>
        <w:tab w:val="center" w:pos="4513"/>
        <w:tab w:val="right" w:pos="9026"/>
      </w:tabs>
    </w:pPr>
  </w:style>
  <w:style w:type="character" w:customStyle="1" w:styleId="FooterChar">
    <w:name w:val="Footer Char"/>
    <w:basedOn w:val="DefaultParagraphFont"/>
    <w:link w:val="Footer"/>
    <w:uiPriority w:val="99"/>
    <w:rsid w:val="00814AC4"/>
    <w:rPr>
      <w:rFonts w:ascii="Calibri" w:eastAsia="Calibri" w:hAnsi="Calibri" w:cs="Calibri"/>
      <w:lang w:val="en-GB"/>
    </w:rPr>
  </w:style>
  <w:style w:type="paragraph" w:styleId="Revision">
    <w:name w:val="Revision"/>
    <w:hidden/>
    <w:uiPriority w:val="99"/>
    <w:semiHidden/>
    <w:rsid w:val="00814AC4"/>
    <w:pPr>
      <w:widowControl/>
      <w:autoSpaceDE/>
      <w:autoSpaceDN/>
    </w:pPr>
    <w:rPr>
      <w:rFonts w:ascii="Calibri" w:eastAsia="Calibri" w:hAnsi="Calibri" w:cs="Calibri"/>
      <w:lang w:val="en-GB"/>
    </w:rPr>
  </w:style>
  <w:style w:type="paragraph" w:styleId="BalloonText">
    <w:name w:val="Balloon Text"/>
    <w:basedOn w:val="Normal"/>
    <w:link w:val="BalloonTextChar"/>
    <w:uiPriority w:val="99"/>
    <w:semiHidden/>
    <w:unhideWhenUsed/>
    <w:rsid w:val="00814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C4"/>
    <w:rPr>
      <w:rFonts w:ascii="Segoe UI" w:eastAsia="Calibri" w:hAnsi="Segoe UI" w:cs="Segoe UI"/>
      <w:sz w:val="18"/>
      <w:szCs w:val="18"/>
      <w:lang w:val="en-GB"/>
    </w:rPr>
  </w:style>
  <w:style w:type="table" w:styleId="TableGrid">
    <w:name w:val="Table Grid"/>
    <w:basedOn w:val="TableNormal"/>
    <w:uiPriority w:val="39"/>
    <w:rsid w:val="0081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AC4"/>
    <w:rPr>
      <w:sz w:val="16"/>
      <w:szCs w:val="16"/>
    </w:rPr>
  </w:style>
  <w:style w:type="paragraph" w:styleId="CommentText">
    <w:name w:val="annotation text"/>
    <w:basedOn w:val="Normal"/>
    <w:link w:val="CommentTextChar"/>
    <w:uiPriority w:val="99"/>
    <w:semiHidden/>
    <w:unhideWhenUsed/>
    <w:rsid w:val="00814AC4"/>
    <w:rPr>
      <w:sz w:val="20"/>
      <w:szCs w:val="20"/>
    </w:rPr>
  </w:style>
  <w:style w:type="character" w:customStyle="1" w:styleId="CommentTextChar">
    <w:name w:val="Comment Text Char"/>
    <w:basedOn w:val="DefaultParagraphFont"/>
    <w:link w:val="CommentText"/>
    <w:uiPriority w:val="99"/>
    <w:semiHidden/>
    <w:rsid w:val="00814AC4"/>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814AC4"/>
    <w:rPr>
      <w:b/>
      <w:bCs/>
    </w:rPr>
  </w:style>
  <w:style w:type="character" w:customStyle="1" w:styleId="CommentSubjectChar">
    <w:name w:val="Comment Subject Char"/>
    <w:basedOn w:val="CommentTextChar"/>
    <w:link w:val="CommentSubject"/>
    <w:uiPriority w:val="99"/>
    <w:semiHidden/>
    <w:rsid w:val="00814AC4"/>
    <w:rPr>
      <w:rFonts w:ascii="Calibri" w:eastAsia="Calibri" w:hAnsi="Calibri" w:cs="Calibri"/>
      <w:b/>
      <w:bCs/>
      <w:sz w:val="20"/>
      <w:szCs w:val="20"/>
      <w:lang w:val="en-GB"/>
    </w:rPr>
  </w:style>
  <w:style w:type="paragraph" w:styleId="TOCHeading">
    <w:name w:val="TOC Heading"/>
    <w:basedOn w:val="Heading1"/>
    <w:next w:val="Normal"/>
    <w:uiPriority w:val="39"/>
    <w:unhideWhenUsed/>
    <w:qFormat/>
    <w:rsid w:val="00D717C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717CB"/>
    <w:pPr>
      <w:spacing w:after="100"/>
    </w:pPr>
  </w:style>
  <w:style w:type="character" w:styleId="Hyperlink">
    <w:name w:val="Hyperlink"/>
    <w:basedOn w:val="DefaultParagraphFont"/>
    <w:uiPriority w:val="99"/>
    <w:unhideWhenUsed/>
    <w:rsid w:val="00D71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417EF28EF4BEF8EEC3CABE527D34A"/>
        <w:category>
          <w:name w:val="General"/>
          <w:gallery w:val="placeholder"/>
        </w:category>
        <w:types>
          <w:type w:val="bbPlcHdr"/>
        </w:types>
        <w:behaviors>
          <w:behavior w:val="content"/>
        </w:behaviors>
        <w:guid w:val="{9DC19BB4-6BBF-476C-84CD-FC64AB1921CB}"/>
      </w:docPartPr>
      <w:docPartBody>
        <w:p w:rsidR="000F1B02" w:rsidRDefault="00ED430E" w:rsidP="00ED430E">
          <w:pPr>
            <w:pStyle w:val="058417EF28EF4BEF8EEC3CABE527D34A"/>
          </w:pPr>
          <w:r w:rsidRPr="00872C27">
            <w:rPr>
              <w:rStyle w:val="PlaceholderText"/>
            </w:rPr>
            <w:t>Click or tap here to enter text.</w:t>
          </w:r>
        </w:p>
      </w:docPartBody>
    </w:docPart>
    <w:docPart>
      <w:docPartPr>
        <w:name w:val="60E54701537B45F183E40D8F01174BEB"/>
        <w:category>
          <w:name w:val="General"/>
          <w:gallery w:val="placeholder"/>
        </w:category>
        <w:types>
          <w:type w:val="bbPlcHdr"/>
        </w:types>
        <w:behaviors>
          <w:behavior w:val="content"/>
        </w:behaviors>
        <w:guid w:val="{9C0625C0-3AF1-453F-8B3B-DA2336059740}"/>
      </w:docPartPr>
      <w:docPartBody>
        <w:p w:rsidR="000F1B02" w:rsidRDefault="00ED430E" w:rsidP="00ED430E">
          <w:pPr>
            <w:pStyle w:val="60E54701537B45F183E40D8F01174BEB"/>
          </w:pPr>
          <w:r w:rsidRPr="00872C27">
            <w:rPr>
              <w:rStyle w:val="PlaceholderText"/>
            </w:rPr>
            <w:t>Click or tap here to enter text.</w:t>
          </w:r>
        </w:p>
      </w:docPartBody>
    </w:docPart>
    <w:docPart>
      <w:docPartPr>
        <w:name w:val="3B47933408E94F229BE4907F350FC371"/>
        <w:category>
          <w:name w:val="General"/>
          <w:gallery w:val="placeholder"/>
        </w:category>
        <w:types>
          <w:type w:val="bbPlcHdr"/>
        </w:types>
        <w:behaviors>
          <w:behavior w:val="content"/>
        </w:behaviors>
        <w:guid w:val="{A92EB02F-E7E8-4075-A939-2AE7E8CA2292}"/>
      </w:docPartPr>
      <w:docPartBody>
        <w:p w:rsidR="000F1B02" w:rsidRDefault="00ED430E" w:rsidP="00ED430E">
          <w:pPr>
            <w:pStyle w:val="3B47933408E94F229BE4907F350FC371"/>
          </w:pPr>
          <w:r w:rsidRPr="00872C27">
            <w:rPr>
              <w:rStyle w:val="PlaceholderText"/>
            </w:rPr>
            <w:t>Click or tap to enter a date.</w:t>
          </w:r>
        </w:p>
      </w:docPartBody>
    </w:docPart>
    <w:docPart>
      <w:docPartPr>
        <w:name w:val="B973040A4D924E47A0DB8F3A1954B411"/>
        <w:category>
          <w:name w:val="General"/>
          <w:gallery w:val="placeholder"/>
        </w:category>
        <w:types>
          <w:type w:val="bbPlcHdr"/>
        </w:types>
        <w:behaviors>
          <w:behavior w:val="content"/>
        </w:behaviors>
        <w:guid w:val="{5815F848-49CC-40DB-A050-1CD482DE152F}"/>
      </w:docPartPr>
      <w:docPartBody>
        <w:p w:rsidR="000F1B02" w:rsidRDefault="00ED430E" w:rsidP="00ED430E">
          <w:pPr>
            <w:pStyle w:val="B973040A4D924E47A0DB8F3A1954B411"/>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0E"/>
    <w:rsid w:val="000F1B02"/>
    <w:rsid w:val="00305448"/>
    <w:rsid w:val="00ED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30E"/>
    <w:rPr>
      <w:color w:val="808080"/>
    </w:rPr>
  </w:style>
  <w:style w:type="paragraph" w:customStyle="1" w:styleId="058417EF28EF4BEF8EEC3CABE527D34A">
    <w:name w:val="058417EF28EF4BEF8EEC3CABE527D34A"/>
    <w:rsid w:val="00ED430E"/>
  </w:style>
  <w:style w:type="paragraph" w:customStyle="1" w:styleId="60E54701537B45F183E40D8F01174BEB">
    <w:name w:val="60E54701537B45F183E40D8F01174BEB"/>
    <w:rsid w:val="00ED430E"/>
  </w:style>
  <w:style w:type="paragraph" w:customStyle="1" w:styleId="3B47933408E94F229BE4907F350FC371">
    <w:name w:val="3B47933408E94F229BE4907F350FC371"/>
    <w:rsid w:val="00ED430E"/>
  </w:style>
  <w:style w:type="paragraph" w:customStyle="1" w:styleId="B973040A4D924E47A0DB8F3A1954B411">
    <w:name w:val="B973040A4D924E47A0DB8F3A1954B411"/>
    <w:rsid w:val="00ED4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22DC45E-4E0C-4AEE-AE70-B6CAFBD8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15135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Treasury Management Policy</vt:lpstr>
    </vt:vector>
  </TitlesOfParts>
  <Company>University of Chichester</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Policy</dc:title>
  <dc:creator>Claire Kemp</dc:creator>
  <cp:lastModifiedBy>Claire Thorn</cp:lastModifiedBy>
  <cp:revision>2</cp:revision>
  <dcterms:created xsi:type="dcterms:W3CDTF">2023-07-05T15:01:00Z</dcterms:created>
  <dcterms:modified xsi:type="dcterms:W3CDTF">2023-07-05T15:01:00Z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2019</vt:lpwstr>
  </property>
  <property fmtid="{D5CDD505-2E9C-101B-9397-08002B2CF9AE}" pid="4" name="LastSaved">
    <vt:filetime>2021-01-27T00:00:00Z</vt:filetime>
  </property>
</Properties>
</file>